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966" w:rsidRPr="00B338F3" w:rsidRDefault="0069704F" w:rsidP="00B338F3">
      <w:pPr>
        <w:jc w:val="center"/>
      </w:pPr>
      <w:r>
        <w:rPr>
          <w:noProof/>
        </w:rPr>
        <w:drawing>
          <wp:inline distT="0" distB="0" distL="0" distR="0">
            <wp:extent cx="1559292" cy="587141"/>
            <wp:effectExtent l="0" t="0" r="3175" b="3810"/>
            <wp:docPr id="1" name="Picture 0" descr="Pictur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gif"/>
                    <pic:cNvPicPr/>
                  </pic:nvPicPr>
                  <pic:blipFill>
                    <a:blip r:embed="rId9" cstate="print"/>
                    <a:stretch>
                      <a:fillRect/>
                    </a:stretch>
                  </pic:blipFill>
                  <pic:spPr>
                    <a:xfrm>
                      <a:off x="0" y="0"/>
                      <a:ext cx="1571783" cy="591844"/>
                    </a:xfrm>
                    <a:prstGeom prst="rect">
                      <a:avLst/>
                    </a:prstGeom>
                  </pic:spPr>
                </pic:pic>
              </a:graphicData>
            </a:graphic>
          </wp:inline>
        </w:drawing>
      </w:r>
    </w:p>
    <w:p w:rsidR="00312322" w:rsidRDefault="00312322" w:rsidP="00CE2738">
      <w:pPr>
        <w:pStyle w:val="Title"/>
        <w:spacing w:after="120"/>
        <w:jc w:val="center"/>
        <w:rPr>
          <w:b/>
          <w:bCs/>
          <w:sz w:val="36"/>
          <w:szCs w:val="36"/>
        </w:rPr>
      </w:pPr>
    </w:p>
    <w:p w:rsidR="000E5730" w:rsidRPr="004F6011" w:rsidRDefault="00557966" w:rsidP="000E5730">
      <w:pPr>
        <w:pStyle w:val="Title"/>
        <w:spacing w:after="120"/>
        <w:jc w:val="center"/>
        <w:rPr>
          <w:b/>
          <w:bCs/>
          <w:sz w:val="36"/>
          <w:szCs w:val="36"/>
          <w:lang w:val="fr-BE"/>
        </w:rPr>
      </w:pPr>
      <w:r w:rsidRPr="004F6011">
        <w:rPr>
          <w:b/>
          <w:sz w:val="36"/>
          <w:lang w:val="fr-BE"/>
        </w:rPr>
        <w:t>Atelier du RSDC sur l'éducation au développement</w:t>
      </w:r>
    </w:p>
    <w:p w:rsidR="0069704F" w:rsidRPr="004F6011" w:rsidRDefault="0003040C" w:rsidP="000E5730">
      <w:pPr>
        <w:pStyle w:val="Title"/>
        <w:spacing w:after="120"/>
        <w:jc w:val="center"/>
        <w:rPr>
          <w:b/>
          <w:bCs/>
          <w:sz w:val="28"/>
          <w:szCs w:val="28"/>
          <w:lang w:val="fr-BE"/>
        </w:rPr>
      </w:pPr>
      <w:r w:rsidRPr="004F6011">
        <w:rPr>
          <w:b/>
          <w:sz w:val="28"/>
          <w:lang w:val="fr-BE"/>
        </w:rPr>
        <w:t>« </w:t>
      </w:r>
      <w:r w:rsidR="000E5730" w:rsidRPr="004F6011">
        <w:rPr>
          <w:b/>
          <w:sz w:val="28"/>
          <w:lang w:val="fr-BE"/>
        </w:rPr>
        <w:t>Vers un programme syndical commun</w:t>
      </w:r>
      <w:r w:rsidRPr="004F6011">
        <w:rPr>
          <w:b/>
          <w:sz w:val="28"/>
          <w:lang w:val="fr-BE"/>
        </w:rPr>
        <w:t> »</w:t>
      </w:r>
    </w:p>
    <w:p w:rsidR="000E5730" w:rsidRPr="004F6011" w:rsidRDefault="000E5730" w:rsidP="006A395B">
      <w:pPr>
        <w:spacing w:after="0"/>
        <w:jc w:val="center"/>
        <w:rPr>
          <w:rFonts w:ascii="Arial" w:hAnsi="Arial" w:cs="Arial"/>
          <w:sz w:val="16"/>
          <w:szCs w:val="16"/>
          <w:lang w:val="fr-BE"/>
        </w:rPr>
      </w:pPr>
      <w:r w:rsidRPr="004F6011">
        <w:rPr>
          <w:rFonts w:ascii="Arial" w:hAnsi="Arial"/>
          <w:sz w:val="16"/>
          <w:lang w:val="fr-BE"/>
        </w:rPr>
        <w:t>Les 12 et 13 septembre 2013</w:t>
      </w:r>
    </w:p>
    <w:p w:rsidR="000E5730" w:rsidRPr="004F6011" w:rsidRDefault="000E5730" w:rsidP="006A395B">
      <w:pPr>
        <w:spacing w:after="0"/>
        <w:jc w:val="center"/>
        <w:rPr>
          <w:rFonts w:ascii="Arial" w:hAnsi="Arial" w:cs="Arial"/>
          <w:sz w:val="16"/>
          <w:szCs w:val="16"/>
          <w:lang w:val="fr-BE"/>
        </w:rPr>
      </w:pPr>
      <w:r w:rsidRPr="004F6011">
        <w:rPr>
          <w:rFonts w:ascii="Arial" w:hAnsi="Arial"/>
          <w:sz w:val="16"/>
          <w:lang w:val="fr-BE"/>
        </w:rPr>
        <w:t xml:space="preserve">Centro </w:t>
      </w:r>
      <w:proofErr w:type="spellStart"/>
      <w:r w:rsidRPr="004F6011">
        <w:rPr>
          <w:rFonts w:ascii="Arial" w:hAnsi="Arial"/>
          <w:sz w:val="16"/>
          <w:lang w:val="fr-BE"/>
        </w:rPr>
        <w:t>Studi</w:t>
      </w:r>
      <w:proofErr w:type="spellEnd"/>
      <w:r w:rsidRPr="004F6011">
        <w:rPr>
          <w:rFonts w:ascii="Arial" w:hAnsi="Arial"/>
          <w:sz w:val="16"/>
          <w:lang w:val="fr-BE"/>
        </w:rPr>
        <w:t xml:space="preserve"> CISL </w:t>
      </w:r>
      <w:hyperlink r:id="rId10">
        <w:r w:rsidRPr="004F6011">
          <w:rPr>
            <w:rStyle w:val="Hyperlink"/>
            <w:rFonts w:ascii="Calibri" w:hAnsi="Calibri"/>
            <w:sz w:val="16"/>
            <w:lang w:val="fr-BE"/>
          </w:rPr>
          <w:t>http://www.centrostudi.cisl.it/</w:t>
        </w:r>
      </w:hyperlink>
    </w:p>
    <w:p w:rsidR="000E5730" w:rsidRPr="004F6011" w:rsidRDefault="000E5730" w:rsidP="00381C4F">
      <w:pPr>
        <w:spacing w:after="0"/>
        <w:jc w:val="center"/>
        <w:rPr>
          <w:rFonts w:asciiTheme="majorHAnsi" w:eastAsiaTheme="majorEastAsia" w:hAnsiTheme="majorHAnsi" w:cstheme="majorBidi"/>
          <w:smallCaps/>
          <w:color w:val="17365D" w:themeColor="text2" w:themeShade="BF"/>
          <w:kern w:val="28"/>
          <w:sz w:val="16"/>
          <w:szCs w:val="16"/>
          <w:lang w:val="fr-BE"/>
        </w:rPr>
      </w:pPr>
      <w:r w:rsidRPr="004F6011">
        <w:rPr>
          <w:rFonts w:ascii="Arial" w:hAnsi="Arial"/>
          <w:sz w:val="16"/>
          <w:lang w:val="fr-BE"/>
        </w:rPr>
        <w:t xml:space="preserve">Via </w:t>
      </w:r>
      <w:proofErr w:type="spellStart"/>
      <w:r w:rsidRPr="004F6011">
        <w:rPr>
          <w:rFonts w:ascii="Arial" w:hAnsi="Arial"/>
          <w:sz w:val="16"/>
          <w:lang w:val="fr-BE"/>
        </w:rPr>
        <w:t>della</w:t>
      </w:r>
      <w:proofErr w:type="spellEnd"/>
      <w:r w:rsidRPr="004F6011">
        <w:rPr>
          <w:rFonts w:ascii="Arial" w:hAnsi="Arial"/>
          <w:sz w:val="16"/>
          <w:lang w:val="fr-BE"/>
        </w:rPr>
        <w:t xml:space="preserve"> </w:t>
      </w:r>
      <w:proofErr w:type="spellStart"/>
      <w:r w:rsidRPr="004F6011">
        <w:rPr>
          <w:rFonts w:ascii="Arial" w:hAnsi="Arial"/>
          <w:sz w:val="16"/>
          <w:lang w:val="fr-BE"/>
        </w:rPr>
        <w:t>Piazzola</w:t>
      </w:r>
      <w:proofErr w:type="spellEnd"/>
      <w:r w:rsidRPr="004F6011">
        <w:rPr>
          <w:rFonts w:ascii="Arial" w:hAnsi="Arial"/>
          <w:sz w:val="16"/>
          <w:lang w:val="fr-BE"/>
        </w:rPr>
        <w:t xml:space="preserve">, 71 </w:t>
      </w:r>
      <w:r w:rsidR="00B46205" w:rsidRPr="004F6011">
        <w:rPr>
          <w:rFonts w:ascii="Arial" w:hAnsi="Arial"/>
          <w:sz w:val="16"/>
          <w:lang w:val="fr-BE"/>
        </w:rPr>
        <w:t>–</w:t>
      </w:r>
      <w:r w:rsidRPr="004F6011">
        <w:rPr>
          <w:rFonts w:ascii="Arial" w:hAnsi="Arial"/>
          <w:sz w:val="16"/>
          <w:lang w:val="fr-BE"/>
        </w:rPr>
        <w:t xml:space="preserve"> 50133</w:t>
      </w:r>
      <w:r w:rsidR="00B46205" w:rsidRPr="004F6011">
        <w:rPr>
          <w:rFonts w:ascii="Arial" w:hAnsi="Arial"/>
          <w:sz w:val="16"/>
          <w:lang w:val="fr-BE"/>
        </w:rPr>
        <w:t xml:space="preserve"> </w:t>
      </w:r>
      <w:r w:rsidRPr="004F6011">
        <w:rPr>
          <w:rFonts w:ascii="Arial" w:hAnsi="Arial"/>
          <w:sz w:val="16"/>
          <w:lang w:val="fr-BE"/>
        </w:rPr>
        <w:t>Florence, Italie</w:t>
      </w:r>
    </w:p>
    <w:p w:rsidR="00381C4F" w:rsidRPr="004F6011" w:rsidRDefault="00381C4F" w:rsidP="00381C4F">
      <w:pPr>
        <w:spacing w:after="0"/>
        <w:jc w:val="center"/>
        <w:rPr>
          <w:rFonts w:asciiTheme="majorHAnsi" w:eastAsiaTheme="majorEastAsia" w:hAnsiTheme="majorHAnsi" w:cstheme="majorBidi"/>
          <w:smallCaps/>
          <w:color w:val="17365D" w:themeColor="text2" w:themeShade="BF"/>
          <w:kern w:val="28"/>
          <w:sz w:val="24"/>
          <w:szCs w:val="24"/>
          <w:lang w:val="fr-BE"/>
        </w:rPr>
      </w:pPr>
    </w:p>
    <w:p w:rsidR="000F3EFF" w:rsidRPr="004F6011" w:rsidRDefault="008D37BC" w:rsidP="000F3EFF">
      <w:pPr>
        <w:spacing w:after="0"/>
        <w:jc w:val="center"/>
        <w:rPr>
          <w:rFonts w:asciiTheme="majorHAnsi" w:eastAsiaTheme="majorEastAsia" w:hAnsiTheme="majorHAnsi" w:cstheme="majorBidi"/>
          <w:smallCaps/>
          <w:color w:val="17365D" w:themeColor="text2" w:themeShade="BF"/>
          <w:kern w:val="28"/>
          <w:sz w:val="32"/>
          <w:szCs w:val="32"/>
          <w:lang w:val="fr-BE"/>
        </w:rPr>
      </w:pPr>
      <w:r w:rsidRPr="004F6011">
        <w:rPr>
          <w:rFonts w:asciiTheme="majorHAnsi" w:eastAsiaTheme="majorEastAsia" w:hAnsiTheme="majorHAnsi" w:cstheme="majorBidi"/>
          <w:smallCaps/>
          <w:color w:val="17365D" w:themeColor="text2" w:themeShade="BF"/>
          <w:kern w:val="28"/>
          <w:sz w:val="32"/>
          <w:lang w:val="fr-BE"/>
        </w:rPr>
        <w:t>Introduction</w:t>
      </w:r>
    </w:p>
    <w:p w:rsidR="000F3EFF" w:rsidRPr="004F6011" w:rsidRDefault="00536418" w:rsidP="000F3EFF">
      <w:pPr>
        <w:rPr>
          <w:b/>
          <w:i/>
          <w:lang w:val="fr-BE"/>
        </w:rPr>
      </w:pPr>
      <w:r w:rsidRPr="004F6011">
        <w:rPr>
          <w:b/>
          <w:i/>
          <w:lang w:val="fr-BE"/>
        </w:rPr>
        <w:t xml:space="preserve">Contexte </w:t>
      </w:r>
    </w:p>
    <w:p w:rsidR="008614F5" w:rsidRPr="004F6011" w:rsidRDefault="008614F5" w:rsidP="001E5753">
      <w:pPr>
        <w:ind w:right="-731"/>
        <w:jc w:val="both"/>
        <w:rPr>
          <w:lang w:val="fr-BE"/>
        </w:rPr>
      </w:pPr>
      <w:r w:rsidRPr="004F6011">
        <w:rPr>
          <w:lang w:val="fr-BE"/>
        </w:rPr>
        <w:t>D'ici peu, la Commission européenne lancera un appel à propositions dans le cadre du programme d'éducation et de sensibilisation au développement (</w:t>
      </w:r>
      <w:proofErr w:type="spellStart"/>
      <w:r w:rsidRPr="004F6011">
        <w:rPr>
          <w:i/>
          <w:lang w:val="fr-BE"/>
        </w:rPr>
        <w:t>Development</w:t>
      </w:r>
      <w:proofErr w:type="spellEnd"/>
      <w:r w:rsidRPr="004F6011">
        <w:rPr>
          <w:i/>
          <w:lang w:val="fr-BE"/>
        </w:rPr>
        <w:t xml:space="preserve"> Education and </w:t>
      </w:r>
      <w:proofErr w:type="spellStart"/>
      <w:r w:rsidRPr="004F6011">
        <w:rPr>
          <w:i/>
          <w:lang w:val="fr-BE"/>
        </w:rPr>
        <w:t>Awareness</w:t>
      </w:r>
      <w:proofErr w:type="spellEnd"/>
      <w:r w:rsidRPr="004F6011">
        <w:rPr>
          <w:i/>
          <w:lang w:val="fr-BE"/>
        </w:rPr>
        <w:t xml:space="preserve"> </w:t>
      </w:r>
      <w:proofErr w:type="spellStart"/>
      <w:r w:rsidRPr="004F6011">
        <w:rPr>
          <w:i/>
          <w:lang w:val="fr-BE"/>
        </w:rPr>
        <w:t>Raising</w:t>
      </w:r>
      <w:proofErr w:type="spellEnd"/>
      <w:r w:rsidR="00B46205" w:rsidRPr="004F6011">
        <w:rPr>
          <w:lang w:val="fr-BE"/>
        </w:rPr>
        <w:t xml:space="preserve"> – </w:t>
      </w:r>
      <w:r w:rsidRPr="004F6011">
        <w:rPr>
          <w:lang w:val="fr-BE"/>
        </w:rPr>
        <w:t xml:space="preserve">DEAR). </w:t>
      </w:r>
      <w:r w:rsidR="0003040C" w:rsidRPr="004F6011">
        <w:rPr>
          <w:lang w:val="fr-BE"/>
        </w:rPr>
        <w:t xml:space="preserve">Le </w:t>
      </w:r>
      <w:r w:rsidRPr="004F6011">
        <w:rPr>
          <w:lang w:val="fr-BE"/>
        </w:rPr>
        <w:t>DEAR entend informer les</w:t>
      </w:r>
      <w:r w:rsidR="00B46205" w:rsidRPr="004F6011">
        <w:rPr>
          <w:lang w:val="fr-BE"/>
        </w:rPr>
        <w:t xml:space="preserve"> citoyens de l'Union européenne </w:t>
      </w:r>
      <w:r w:rsidRPr="004F6011">
        <w:rPr>
          <w:lang w:val="fr-BE"/>
        </w:rPr>
        <w:t>des questions de développement, mobiliser davantage de soutien public pour les actions contre la pauvreté, fournir à la population des outils pour s'engager de façon décisive dans les thèmes de développement mondial et encourager de nouvelles idées et de nouveaux comportements. Le programme est mis en œuvre par des acteurs de la société civile et par des autorités locales au sein d'États de l'Union européenne et de pays en voie d'adhésion</w:t>
      </w:r>
      <w:r>
        <w:rPr>
          <w:rStyle w:val="FootnoteReference"/>
        </w:rPr>
        <w:footnoteReference w:id="1"/>
      </w:r>
      <w:r w:rsidRPr="004F6011">
        <w:rPr>
          <w:lang w:val="fr-BE"/>
        </w:rPr>
        <w:t xml:space="preserve">. </w:t>
      </w:r>
    </w:p>
    <w:p w:rsidR="00E94B38" w:rsidRPr="004F6011" w:rsidRDefault="008614F5" w:rsidP="00E94B38">
      <w:pPr>
        <w:ind w:right="-731"/>
        <w:jc w:val="both"/>
        <w:rPr>
          <w:lang w:val="fr-BE"/>
        </w:rPr>
      </w:pPr>
      <w:r w:rsidRPr="004F6011">
        <w:rPr>
          <w:lang w:val="fr-BE"/>
        </w:rPr>
        <w:t>À la suite de récentes études et d'une évaluation du programme, la Commission européenne élabore actuellement une nouvelle approche politique qui devrait être adoptée d'ici la fin de 2014</w:t>
      </w:r>
      <w:r>
        <w:rPr>
          <w:rStyle w:val="FootnoteReference"/>
        </w:rPr>
        <w:footnoteReference w:id="2"/>
      </w:r>
      <w:r w:rsidRPr="004F6011">
        <w:rPr>
          <w:lang w:val="fr-BE"/>
        </w:rPr>
        <w:t xml:space="preserve">. </w:t>
      </w:r>
    </w:p>
    <w:p w:rsidR="00E94B38" w:rsidRPr="004F6011" w:rsidRDefault="00E94B38" w:rsidP="00E94B38">
      <w:pPr>
        <w:ind w:right="-731"/>
        <w:jc w:val="both"/>
        <w:rPr>
          <w:lang w:val="fr-BE"/>
        </w:rPr>
      </w:pPr>
      <w:r w:rsidRPr="004F6011">
        <w:rPr>
          <w:lang w:val="fr-BE"/>
        </w:rPr>
        <w:t>En prévision de ce prochain appel à propositions (septembre 2013), la Commission européenne a présenté des modifications plutôt conséquentes, comme l'augmentation de la taille des projets, l'extension de la couverture géographique et l'encouragement des stratégies/ripostes européennes effectives aux enjeux mondiaux</w:t>
      </w:r>
      <w:r>
        <w:rPr>
          <w:rStyle w:val="FootnoteReference"/>
        </w:rPr>
        <w:footnoteReference w:id="3"/>
      </w:r>
      <w:r w:rsidRPr="004F6011">
        <w:rPr>
          <w:lang w:val="fr-BE"/>
        </w:rPr>
        <w:t xml:space="preserve">. </w:t>
      </w:r>
    </w:p>
    <w:p w:rsidR="00BD4DEE" w:rsidRPr="004F6011" w:rsidRDefault="00BD4DEE" w:rsidP="00BF5D48">
      <w:pPr>
        <w:ind w:right="-731"/>
        <w:jc w:val="both"/>
        <w:rPr>
          <w:lang w:val="fr-BE"/>
        </w:rPr>
      </w:pPr>
    </w:p>
    <w:p w:rsidR="006E54D1" w:rsidRPr="004F6011" w:rsidRDefault="004F33FD" w:rsidP="00BF5D48">
      <w:pPr>
        <w:ind w:right="-731"/>
        <w:jc w:val="both"/>
        <w:rPr>
          <w:lang w:val="fr-BE"/>
        </w:rPr>
      </w:pPr>
      <w:r w:rsidRPr="004F6011">
        <w:rPr>
          <w:lang w:val="fr-BE"/>
        </w:rPr>
        <w:t xml:space="preserve">L'éducation au développement est un thème prioritaire pour le mouvement syndical (fort apparenté au terme plus familier de </w:t>
      </w:r>
      <w:r w:rsidR="0003040C" w:rsidRPr="004F6011">
        <w:rPr>
          <w:lang w:val="fr-BE"/>
        </w:rPr>
        <w:t>« </w:t>
      </w:r>
      <w:r w:rsidRPr="004F6011">
        <w:rPr>
          <w:lang w:val="fr-BE"/>
        </w:rPr>
        <w:t>solidarité internationale</w:t>
      </w:r>
      <w:r w:rsidR="0003040C" w:rsidRPr="004F6011">
        <w:rPr>
          <w:lang w:val="fr-BE"/>
        </w:rPr>
        <w:t> »</w:t>
      </w:r>
      <w:r w:rsidRPr="004F6011">
        <w:rPr>
          <w:lang w:val="fr-BE"/>
        </w:rPr>
        <w:t>). Elle a d'ailleurs été le sujet d'un séminaire spécifique du Réseau syndical de coopération au développement (RSDC) en 2012.</w:t>
      </w:r>
      <w:r w:rsidR="0003040C" w:rsidRPr="004F6011">
        <w:rPr>
          <w:lang w:val="fr-BE"/>
        </w:rPr>
        <w:t xml:space="preserve"> </w:t>
      </w:r>
    </w:p>
    <w:p w:rsidR="00E94B38" w:rsidRPr="004F6011" w:rsidRDefault="004F33FD" w:rsidP="00BF5D48">
      <w:pPr>
        <w:ind w:right="-731"/>
        <w:jc w:val="both"/>
        <w:rPr>
          <w:lang w:val="fr-BE"/>
        </w:rPr>
      </w:pPr>
      <w:r w:rsidRPr="004F6011">
        <w:rPr>
          <w:lang w:val="fr-BE"/>
        </w:rPr>
        <w:t xml:space="preserve">Deux </w:t>
      </w:r>
      <w:r w:rsidRPr="004F6011">
        <w:rPr>
          <w:u w:val="single"/>
          <w:lang w:val="fr-BE"/>
        </w:rPr>
        <w:t xml:space="preserve">déclarations politiques </w:t>
      </w:r>
      <w:r w:rsidRPr="004F6011">
        <w:rPr>
          <w:lang w:val="fr-BE"/>
        </w:rPr>
        <w:t>ont été adoptées à cette occasion, laissant présager que les organisations syndicales allaient jouer un rôle plus prééminent dans le soutien apporté aux activités d'éducation au développement</w:t>
      </w:r>
      <w:r>
        <w:rPr>
          <w:rStyle w:val="FootnoteReference"/>
        </w:rPr>
        <w:footnoteReference w:id="4"/>
      </w:r>
      <w:r w:rsidRPr="004F6011">
        <w:rPr>
          <w:lang w:val="fr-BE"/>
        </w:rPr>
        <w:t>, position qui va de pair avec l'objectif visant à accorder une priorité plus politique à l'éducation au développement au sein du mouvement syndical</w:t>
      </w:r>
      <w:r>
        <w:rPr>
          <w:rStyle w:val="FootnoteReference"/>
        </w:rPr>
        <w:footnoteReference w:id="5"/>
      </w:r>
      <w:r w:rsidRPr="004F6011">
        <w:rPr>
          <w:lang w:val="fr-BE"/>
        </w:rPr>
        <w:t>.</w:t>
      </w:r>
    </w:p>
    <w:p w:rsidR="000F3EFF" w:rsidRPr="004F6011" w:rsidRDefault="00202C7F" w:rsidP="000F3EFF">
      <w:pPr>
        <w:ind w:right="-731"/>
        <w:jc w:val="both"/>
        <w:rPr>
          <w:lang w:val="fr-BE"/>
        </w:rPr>
      </w:pPr>
      <w:r w:rsidRPr="004F6011">
        <w:rPr>
          <w:lang w:val="fr-BE"/>
        </w:rPr>
        <w:t xml:space="preserve">Comme le précisent les déclarations </w:t>
      </w:r>
      <w:r w:rsidR="00590B28" w:rsidRPr="004F6011">
        <w:rPr>
          <w:lang w:val="fr-BE"/>
        </w:rPr>
        <w:t>mentionnées</w:t>
      </w:r>
      <w:r w:rsidRPr="004F6011">
        <w:rPr>
          <w:lang w:val="fr-BE"/>
        </w:rPr>
        <w:t xml:space="preserve"> ci-dessus, </w:t>
      </w:r>
      <w:r w:rsidR="0003040C" w:rsidRPr="004F6011">
        <w:rPr>
          <w:lang w:val="fr-BE"/>
        </w:rPr>
        <w:t>« </w:t>
      </w:r>
      <w:r w:rsidRPr="004F6011">
        <w:rPr>
          <w:i/>
          <w:lang w:val="fr-BE"/>
        </w:rPr>
        <w:t>le Réseau syndical de coopération au développement (RSDC) s'engage à soutenir la participation des syndicats à l'éducation et à la sensibilisation au développement en mettant en place des réseaux, en facilitant les échanges et la coordination dans le domaine entre les membres, et plaidant pour que l'éducation et la sensibilisation au développement figurent en bonne place dans le programme du mouvement syndical international</w:t>
      </w:r>
      <w:r w:rsidR="0003040C" w:rsidRPr="004F6011">
        <w:rPr>
          <w:i/>
          <w:lang w:val="fr-BE"/>
        </w:rPr>
        <w:t> »</w:t>
      </w:r>
      <w:r w:rsidRPr="004F6011">
        <w:rPr>
          <w:lang w:val="fr-BE"/>
        </w:rPr>
        <w:t>.</w:t>
      </w:r>
    </w:p>
    <w:p w:rsidR="00CD6BBF" w:rsidRPr="004F6011" w:rsidRDefault="00CD6BBF" w:rsidP="004C5C4F">
      <w:pPr>
        <w:ind w:right="-731"/>
        <w:jc w:val="both"/>
        <w:rPr>
          <w:b/>
          <w:i/>
          <w:lang w:val="fr-BE"/>
        </w:rPr>
      </w:pPr>
    </w:p>
    <w:p w:rsidR="000F3EFF" w:rsidRPr="004F6011" w:rsidRDefault="00A03A11" w:rsidP="004C5C4F">
      <w:pPr>
        <w:ind w:right="-731"/>
        <w:jc w:val="both"/>
        <w:rPr>
          <w:b/>
          <w:i/>
          <w:lang w:val="fr-BE"/>
        </w:rPr>
      </w:pPr>
      <w:r w:rsidRPr="004F6011">
        <w:rPr>
          <w:b/>
          <w:i/>
          <w:lang w:val="fr-BE"/>
        </w:rPr>
        <w:t xml:space="preserve">Les enjeux actuels de l'éducation au développement pour les syndicats: passer à la vitesse supérieure </w:t>
      </w:r>
    </w:p>
    <w:p w:rsidR="00B37C6D" w:rsidRPr="004F6011" w:rsidRDefault="004C5C4F" w:rsidP="00F6515C">
      <w:pPr>
        <w:ind w:right="-731"/>
        <w:jc w:val="both"/>
        <w:rPr>
          <w:lang w:val="fr-BE"/>
        </w:rPr>
      </w:pPr>
      <w:r w:rsidRPr="004F6011">
        <w:rPr>
          <w:lang w:val="fr-BE"/>
        </w:rPr>
        <w:t>Aujourd'hui plus que jamais, les questions de développement doivent figurer en tête des priorités politiques des syndicats qui se doivent de promouvoir des modèles de développement différents et fondés sur la justice sociale. Cet objectif fait apparaître le besoin de travailler davantage sur la solidarité internationale en cherchant des méthodes et des approches innovantes pour faire face à la crise mondiale.</w:t>
      </w:r>
      <w:r w:rsidR="00BC5AA5" w:rsidRPr="004F6011">
        <w:rPr>
          <w:lang w:val="fr-BE"/>
        </w:rPr>
        <w:t xml:space="preserve"> </w:t>
      </w:r>
      <w:r w:rsidR="00BC5AA5" w:rsidRPr="004F6011">
        <w:rPr>
          <w:i/>
          <w:lang w:val="fr-BE"/>
        </w:rPr>
        <w:t>« Pour les organisations syndicales, l'éducation au développement constitue un processus d'apprentissage à vie, participatif et à durée indéterminée qui permet d'atteindre une compréhension profonde des enjeux découlant du monde interdépendant et en mutation rapide dans lequel nous vivons (…) l'engagement des travailleuses et des travailleurs envers l'éducation au développement est plus important que jamais pour saisir les éléments des processus internationaux de développement, comme les droits humains et syndicaux, le travail décent, les inégalités, la justice sociale et la protection sociale ».</w:t>
      </w:r>
      <w:r w:rsidR="00BC5AA5" w:rsidRPr="004F6011">
        <w:rPr>
          <w:lang w:val="fr-BE"/>
        </w:rPr>
        <w:t xml:space="preserve"> (Déclarations du RSCD).</w:t>
      </w:r>
    </w:p>
    <w:p w:rsidR="00BC5AA5" w:rsidRPr="004F6011" w:rsidRDefault="00BC5AA5" w:rsidP="00F6515C">
      <w:pPr>
        <w:ind w:right="-731"/>
        <w:jc w:val="both"/>
        <w:rPr>
          <w:lang w:val="fr-BE"/>
        </w:rPr>
      </w:pPr>
    </w:p>
    <w:p w:rsidR="00A86973" w:rsidRPr="00A86973" w:rsidRDefault="00F6515C" w:rsidP="00A86973">
      <w:pPr>
        <w:ind w:right="-731"/>
        <w:jc w:val="both"/>
        <w:rPr>
          <w:lang w:val="fr-BE" w:bidi="fr-FR"/>
        </w:rPr>
      </w:pPr>
      <w:r w:rsidRPr="004F6011">
        <w:rPr>
          <w:lang w:val="fr-BE"/>
        </w:rPr>
        <w:lastRenderedPageBreak/>
        <w:t>Dans ce sens, le programme d'éducation et de sensibilisation au développement offre une véritable occasion qu</w:t>
      </w:r>
      <w:r w:rsidR="00A86973" w:rsidRPr="004F6011">
        <w:rPr>
          <w:lang w:val="fr-BE"/>
        </w:rPr>
        <w:t xml:space="preserve">i vaut la peine d'être explorée </w:t>
      </w:r>
      <w:r w:rsidR="00A86973" w:rsidRPr="00A86973">
        <w:rPr>
          <w:lang w:val="fr-BE"/>
        </w:rPr>
        <w:t>dans</w:t>
      </w:r>
      <w:r w:rsidR="00A86973" w:rsidRPr="00A86973">
        <w:rPr>
          <w:lang w:val="fr-BE" w:bidi="fr-FR"/>
        </w:rPr>
        <w:t xml:space="preserve"> la mesure où il encourage le développement d’une compréhension commune du développement mondial et des questions connexes en Europe. « La dimension européenne » a récemment été soulignée (principalement dans les domaines des actions de plaidoyer et de campagne) en tant que critère crucial pour les futurs programmes DEAR, qui devraient avoir pour finalité de soutenir les activités qui ont un impact au niveau européen (en plus de celles au niveau national) et de maintenir un « sens de coresponsabilité de la société européenne pour les affaires mondiales »</w:t>
      </w:r>
      <w:r w:rsidR="00EE3DFC">
        <w:rPr>
          <w:rStyle w:val="FootnoteReference"/>
          <w:lang w:val="fr-BE" w:bidi="fr-FR"/>
        </w:rPr>
        <w:footnoteReference w:id="6"/>
      </w:r>
      <w:r w:rsidR="00A86973" w:rsidRPr="00A86973">
        <w:rPr>
          <w:lang w:val="fr-BE" w:bidi="fr-FR"/>
        </w:rPr>
        <w:t xml:space="preserve">. </w:t>
      </w:r>
    </w:p>
    <w:p w:rsidR="009E3D44" w:rsidRPr="004F6011" w:rsidRDefault="00A86973" w:rsidP="009E3D44">
      <w:pPr>
        <w:ind w:right="-731"/>
        <w:jc w:val="both"/>
        <w:rPr>
          <w:b/>
          <w:i/>
          <w:lang w:val="fr-BE"/>
        </w:rPr>
      </w:pPr>
      <w:r w:rsidRPr="004F6011">
        <w:rPr>
          <w:lang w:val="fr-BE"/>
        </w:rPr>
        <w:t>Enfin, l</w:t>
      </w:r>
      <w:r w:rsidR="00F6515C" w:rsidRPr="004F6011">
        <w:rPr>
          <w:lang w:val="fr-BE"/>
        </w:rPr>
        <w:t>a Commission semble reconnaître davantage aujourd'hui le rôle et la valeur des mouvements sociaux au sein des processus de développement, et se montre de ce fait plus encline à les soutenir. Cette attitude est</w:t>
      </w:r>
      <w:r w:rsidR="00310A6D" w:rsidRPr="004F6011">
        <w:rPr>
          <w:lang w:val="fr-BE"/>
        </w:rPr>
        <w:t xml:space="preserve">, </w:t>
      </w:r>
      <w:r w:rsidR="00F6515C" w:rsidRPr="004F6011">
        <w:rPr>
          <w:lang w:val="fr-BE"/>
        </w:rPr>
        <w:t>héla</w:t>
      </w:r>
      <w:r w:rsidR="00310A6D" w:rsidRPr="004F6011">
        <w:rPr>
          <w:lang w:val="fr-BE"/>
        </w:rPr>
        <w:t xml:space="preserve">s, </w:t>
      </w:r>
      <w:r w:rsidR="00F6515C" w:rsidRPr="004F6011">
        <w:rPr>
          <w:lang w:val="fr-BE"/>
        </w:rPr>
        <w:t xml:space="preserve">aux antipodes de ce qui se passe dans de nombreux pays d'Europe où non seulement les gouvernements nationaux réduisent graduellement les budgets consacrés au développement, mais où les syndicats rencontrent aussi toujours des difficultés à obtenir de l'aide directe en matière d'éducation au développement. </w:t>
      </w:r>
    </w:p>
    <w:p w:rsidR="00CD6BBF" w:rsidRPr="004F6011" w:rsidRDefault="00CD6BBF" w:rsidP="003A4D1A">
      <w:pPr>
        <w:rPr>
          <w:b/>
          <w:i/>
          <w:lang w:val="fr-BE"/>
        </w:rPr>
      </w:pPr>
    </w:p>
    <w:p w:rsidR="00577E3A" w:rsidRPr="004F6011" w:rsidRDefault="00536418" w:rsidP="003A4D1A">
      <w:pPr>
        <w:rPr>
          <w:b/>
          <w:i/>
          <w:lang w:val="fr-BE"/>
        </w:rPr>
      </w:pPr>
      <w:r w:rsidRPr="004F6011">
        <w:rPr>
          <w:b/>
          <w:i/>
          <w:lang w:val="fr-BE"/>
        </w:rPr>
        <w:t>À quoi désirons-nous parvenir à la fin du séminaire</w:t>
      </w:r>
      <w:r w:rsidR="0003040C" w:rsidRPr="004F6011">
        <w:rPr>
          <w:b/>
          <w:i/>
          <w:lang w:val="fr-BE"/>
        </w:rPr>
        <w:t> </w:t>
      </w:r>
      <w:r w:rsidRPr="004F6011">
        <w:rPr>
          <w:b/>
          <w:i/>
          <w:lang w:val="fr-BE"/>
        </w:rPr>
        <w:t>?</w:t>
      </w:r>
    </w:p>
    <w:p w:rsidR="00BD4DEE" w:rsidRPr="004F6011" w:rsidRDefault="00BB629F" w:rsidP="00A03A11">
      <w:pPr>
        <w:ind w:right="-731"/>
        <w:jc w:val="both"/>
        <w:rPr>
          <w:lang w:val="fr-BE"/>
        </w:rPr>
      </w:pPr>
      <w:r w:rsidRPr="004F6011">
        <w:rPr>
          <w:lang w:val="fr-BE"/>
        </w:rPr>
        <w:t xml:space="preserve">Outre les promesses et les priorités exprimées par les membres du RSDC, l'objectif final est </w:t>
      </w:r>
      <w:r w:rsidR="0003040C" w:rsidRPr="004F6011">
        <w:rPr>
          <w:lang w:val="fr-BE"/>
        </w:rPr>
        <w:t>de p</w:t>
      </w:r>
      <w:r w:rsidRPr="004F6011">
        <w:rPr>
          <w:lang w:val="fr-BE"/>
        </w:rPr>
        <w:t xml:space="preserve">résenter un projet de programme commun à la Commission européenne. </w:t>
      </w:r>
    </w:p>
    <w:p w:rsidR="006050C1" w:rsidRPr="004F6011" w:rsidRDefault="006050C1" w:rsidP="00A03A11">
      <w:pPr>
        <w:ind w:right="-731"/>
        <w:jc w:val="both"/>
        <w:rPr>
          <w:lang w:val="fr-BE"/>
        </w:rPr>
      </w:pPr>
      <w:r w:rsidRPr="004F6011">
        <w:rPr>
          <w:lang w:val="fr-BE"/>
        </w:rPr>
        <w:t xml:space="preserve">Ceci est un défi considérable, dans la mesure où cela impliquerait des efforts conceptuels et opérationnels pour mettre sur pied « un cadre commun » ; détenu à parts égales par les partenaires intéressés, et orientant le planning spécifique au niveau national. En ce sens, la possible « proposition de programme conjoint » ne peut pas être </w:t>
      </w:r>
      <w:proofErr w:type="gramStart"/>
      <w:r w:rsidRPr="004F6011">
        <w:rPr>
          <w:lang w:val="fr-BE"/>
        </w:rPr>
        <w:t>fon</w:t>
      </w:r>
      <w:bookmarkStart w:id="0" w:name="_GoBack"/>
      <w:bookmarkEnd w:id="0"/>
      <w:r w:rsidRPr="004F6011">
        <w:rPr>
          <w:lang w:val="fr-BE"/>
        </w:rPr>
        <w:t>dée</w:t>
      </w:r>
      <w:proofErr w:type="gramEnd"/>
      <w:r w:rsidRPr="004F6011">
        <w:rPr>
          <w:lang w:val="fr-BE"/>
        </w:rPr>
        <w:t xml:space="preserve"> sur la simple « somme » des différents projets/pratiques existant au niveau national, mais au contraire devra être conçue sur des caractéristiques communes, en soutenant une dimension européenne solide.  </w:t>
      </w:r>
    </w:p>
    <w:p w:rsidR="00BD4DEE" w:rsidRPr="00E11F99" w:rsidRDefault="00BB629F" w:rsidP="00A03A11">
      <w:pPr>
        <w:ind w:right="-731"/>
        <w:jc w:val="both"/>
        <w:rPr>
          <w:lang w:val="fr-FR"/>
        </w:rPr>
      </w:pPr>
      <w:r w:rsidRPr="004F6011">
        <w:rPr>
          <w:lang w:val="fr-FR"/>
        </w:rPr>
        <w:t>L'objectif du séminaire est donc de</w:t>
      </w:r>
      <w:r w:rsidRPr="00E11F99">
        <w:rPr>
          <w:lang w:val="fr-FR"/>
        </w:rPr>
        <w:t xml:space="preserve"> réfléchir aux contenus, aux approches et aux critères opérationnels qui pourraient former la base du projet, et de les développer. </w:t>
      </w:r>
    </w:p>
    <w:p w:rsidR="00A03A11" w:rsidRPr="004F6011" w:rsidRDefault="00BB629F" w:rsidP="00A03A11">
      <w:pPr>
        <w:ind w:right="-731"/>
        <w:jc w:val="both"/>
        <w:rPr>
          <w:lang w:val="fr-BE"/>
        </w:rPr>
      </w:pPr>
      <w:r w:rsidRPr="004F6011">
        <w:rPr>
          <w:lang w:val="fr-BE"/>
        </w:rPr>
        <w:t>C'est pourquoi les objectifs attendus de l'atelier sont les suivants:</w:t>
      </w:r>
    </w:p>
    <w:p w:rsidR="00A03A11" w:rsidRDefault="00A03A11" w:rsidP="00B13FA6">
      <w:pPr>
        <w:pStyle w:val="ListParagraph"/>
        <w:numPr>
          <w:ilvl w:val="0"/>
          <w:numId w:val="14"/>
        </w:numPr>
        <w:ind w:right="-731"/>
        <w:jc w:val="both"/>
        <w:rPr>
          <w:i/>
        </w:rPr>
      </w:pPr>
      <w:proofErr w:type="spellStart"/>
      <w:r>
        <w:rPr>
          <w:i/>
        </w:rPr>
        <w:t>Fondements</w:t>
      </w:r>
      <w:proofErr w:type="spellEnd"/>
      <w:r>
        <w:rPr>
          <w:i/>
        </w:rPr>
        <w:t xml:space="preserve"> du programme:</w:t>
      </w:r>
    </w:p>
    <w:p w:rsidR="00A03A11" w:rsidRPr="00EE3DFC" w:rsidRDefault="00A03A11" w:rsidP="009E3D44">
      <w:pPr>
        <w:pStyle w:val="ListParagraph"/>
        <w:numPr>
          <w:ilvl w:val="1"/>
          <w:numId w:val="14"/>
        </w:numPr>
        <w:ind w:right="-731"/>
        <w:jc w:val="both"/>
        <w:rPr>
          <w:i/>
          <w:lang w:val="fr-BE"/>
        </w:rPr>
      </w:pPr>
      <w:r w:rsidRPr="00EE3DFC">
        <w:rPr>
          <w:lang w:val="fr-BE"/>
        </w:rPr>
        <w:t>O</w:t>
      </w:r>
      <w:r w:rsidRPr="00EE3DFC">
        <w:rPr>
          <w:i/>
          <w:lang w:val="fr-BE"/>
        </w:rPr>
        <w:t xml:space="preserve">bjectifs généraux et spécifiques </w:t>
      </w:r>
      <w:r w:rsidRPr="00EE3DFC">
        <w:rPr>
          <w:lang w:val="fr-BE"/>
        </w:rPr>
        <w:t>(les priorités de l'appel à propositions seront:</w:t>
      </w:r>
      <w:r w:rsidR="0003040C" w:rsidRPr="00EE3DFC">
        <w:rPr>
          <w:lang w:val="fr-BE"/>
        </w:rPr>
        <w:t xml:space="preserve"> </w:t>
      </w:r>
      <w:r w:rsidRPr="00EE3DFC">
        <w:rPr>
          <w:lang w:val="fr-BE"/>
        </w:rPr>
        <w:t xml:space="preserve">2015 </w:t>
      </w:r>
      <w:r w:rsidR="00590B28" w:rsidRPr="00EE3DFC">
        <w:rPr>
          <w:lang w:val="fr-BE"/>
        </w:rPr>
        <w:t>–</w:t>
      </w:r>
      <w:r w:rsidRPr="00EE3DFC">
        <w:rPr>
          <w:lang w:val="fr-BE"/>
        </w:rPr>
        <w:t xml:space="preserve"> Année</w:t>
      </w:r>
      <w:r w:rsidR="00590B28" w:rsidRPr="00EE3DFC">
        <w:rPr>
          <w:lang w:val="fr-BE"/>
        </w:rPr>
        <w:t xml:space="preserve"> </w:t>
      </w:r>
      <w:r w:rsidRPr="00EE3DFC">
        <w:rPr>
          <w:lang w:val="fr-BE"/>
        </w:rPr>
        <w:t>européenne pour le développement</w:t>
      </w:r>
      <w:r w:rsidR="006050C1">
        <w:rPr>
          <w:rStyle w:val="FootnoteReference"/>
        </w:rPr>
        <w:footnoteReference w:id="7"/>
      </w:r>
      <w:r w:rsidRPr="00EE3DFC">
        <w:rPr>
          <w:lang w:val="fr-BE"/>
        </w:rPr>
        <w:t xml:space="preserve"> + </w:t>
      </w:r>
      <w:r w:rsidR="006050C1" w:rsidRPr="00EE3DFC">
        <w:rPr>
          <w:lang w:val="fr-BE"/>
        </w:rPr>
        <w:t xml:space="preserve">Communication de la CE </w:t>
      </w:r>
      <w:r w:rsidR="0003040C" w:rsidRPr="00EE3DFC">
        <w:rPr>
          <w:lang w:val="fr-BE"/>
        </w:rPr>
        <w:t>« </w:t>
      </w:r>
      <w:r w:rsidRPr="00EE3DFC">
        <w:rPr>
          <w:lang w:val="fr-BE"/>
        </w:rPr>
        <w:t>Une vie décente pour tous</w:t>
      </w:r>
      <w:r w:rsidR="0003040C" w:rsidRPr="00EE3DFC">
        <w:rPr>
          <w:lang w:val="fr-BE"/>
        </w:rPr>
        <w:t> »</w:t>
      </w:r>
      <w:r w:rsidR="00EE3DFC">
        <w:rPr>
          <w:rStyle w:val="FootnoteReference"/>
        </w:rPr>
        <w:footnoteReference w:id="8"/>
      </w:r>
      <w:r w:rsidRPr="00EE3DFC">
        <w:rPr>
          <w:lang w:val="fr-BE"/>
        </w:rPr>
        <w:t>)</w:t>
      </w:r>
    </w:p>
    <w:p w:rsidR="00A03A11" w:rsidRPr="004F6011" w:rsidRDefault="00A03A11" w:rsidP="009E3D44">
      <w:pPr>
        <w:pStyle w:val="ListParagraph"/>
        <w:numPr>
          <w:ilvl w:val="1"/>
          <w:numId w:val="14"/>
        </w:numPr>
        <w:ind w:right="-731"/>
        <w:jc w:val="both"/>
        <w:rPr>
          <w:i/>
          <w:lang w:val="fr-BE"/>
        </w:rPr>
      </w:pPr>
      <w:r w:rsidRPr="004F6011">
        <w:rPr>
          <w:i/>
          <w:lang w:val="fr-BE"/>
        </w:rPr>
        <w:t>Groupes cibles</w:t>
      </w:r>
      <w:r w:rsidRPr="004F6011">
        <w:rPr>
          <w:lang w:val="fr-BE"/>
        </w:rPr>
        <w:t>; par exemple, les membres syndicaux et les travailleurs</w:t>
      </w:r>
    </w:p>
    <w:p w:rsidR="004C5C4F" w:rsidRPr="004F6011" w:rsidRDefault="004C5C4F" w:rsidP="004C5C4F">
      <w:pPr>
        <w:pStyle w:val="ListParagraph"/>
        <w:ind w:left="1440" w:right="-731"/>
        <w:jc w:val="both"/>
        <w:rPr>
          <w:i/>
          <w:lang w:val="fr-BE"/>
        </w:rPr>
      </w:pPr>
    </w:p>
    <w:p w:rsidR="00BB629F" w:rsidRPr="000F3EFF" w:rsidRDefault="00B13FA6" w:rsidP="00B13FA6">
      <w:pPr>
        <w:pStyle w:val="ListParagraph"/>
        <w:numPr>
          <w:ilvl w:val="0"/>
          <w:numId w:val="14"/>
        </w:numPr>
        <w:ind w:right="-731"/>
        <w:jc w:val="both"/>
        <w:rPr>
          <w:i/>
        </w:rPr>
      </w:pPr>
      <w:r>
        <w:rPr>
          <w:i/>
        </w:rPr>
        <w:lastRenderedPageBreak/>
        <w:t xml:space="preserve">Cadre </w:t>
      </w:r>
      <w:proofErr w:type="spellStart"/>
      <w:r>
        <w:rPr>
          <w:i/>
        </w:rPr>
        <w:t>logique</w:t>
      </w:r>
      <w:proofErr w:type="spellEnd"/>
      <w:r>
        <w:rPr>
          <w:i/>
        </w:rPr>
        <w:t xml:space="preserve"> du programme:</w:t>
      </w:r>
    </w:p>
    <w:p w:rsidR="00B13FA6" w:rsidRPr="000F3EFF" w:rsidRDefault="00B13FA6" w:rsidP="00B13FA6">
      <w:pPr>
        <w:pStyle w:val="ListParagraph"/>
        <w:tabs>
          <w:tab w:val="left" w:pos="993"/>
        </w:tabs>
        <w:ind w:right="-731"/>
        <w:jc w:val="both"/>
      </w:pPr>
    </w:p>
    <w:p w:rsidR="00B13FA6" w:rsidRPr="004F6011" w:rsidRDefault="00B13FA6" w:rsidP="006D778E">
      <w:pPr>
        <w:pStyle w:val="ListParagraph"/>
        <w:tabs>
          <w:tab w:val="left" w:pos="993"/>
        </w:tabs>
        <w:ind w:left="993" w:right="-731" w:hanging="273"/>
        <w:jc w:val="both"/>
        <w:rPr>
          <w:lang w:val="fr-BE"/>
        </w:rPr>
      </w:pPr>
      <w:proofErr w:type="gramStart"/>
      <w:r w:rsidRPr="004F6011">
        <w:rPr>
          <w:lang w:val="fr-BE"/>
        </w:rPr>
        <w:t>o</w:t>
      </w:r>
      <w:proofErr w:type="gramEnd"/>
      <w:r w:rsidRPr="004F6011">
        <w:rPr>
          <w:lang w:val="fr-BE"/>
        </w:rPr>
        <w:tab/>
        <w:t>Stratégie du programme: ce à quoi nous voulons parvenir avec le(s) groupe(s) cible(s) pendant la durée du programme</w:t>
      </w:r>
    </w:p>
    <w:p w:rsidR="00B13FA6" w:rsidRPr="004F6011" w:rsidRDefault="00B13FA6" w:rsidP="00B13FA6">
      <w:pPr>
        <w:pStyle w:val="ListParagraph"/>
        <w:tabs>
          <w:tab w:val="left" w:pos="993"/>
        </w:tabs>
        <w:ind w:right="-731"/>
        <w:jc w:val="both"/>
        <w:rPr>
          <w:lang w:val="fr-BE"/>
        </w:rPr>
      </w:pPr>
      <w:proofErr w:type="gramStart"/>
      <w:r w:rsidRPr="004F6011">
        <w:rPr>
          <w:lang w:val="fr-BE"/>
        </w:rPr>
        <w:t>o</w:t>
      </w:r>
      <w:proofErr w:type="gramEnd"/>
      <w:r w:rsidRPr="004F6011">
        <w:rPr>
          <w:lang w:val="fr-BE"/>
        </w:rPr>
        <w:tab/>
        <w:t>Résultats intermédiaires auxquels il faudra parvenir pour réaliser l'objectif</w:t>
      </w:r>
    </w:p>
    <w:p w:rsidR="00B13FA6" w:rsidRPr="004F6011" w:rsidRDefault="00B13FA6" w:rsidP="00B13FA6">
      <w:pPr>
        <w:pStyle w:val="ListParagraph"/>
        <w:tabs>
          <w:tab w:val="left" w:pos="993"/>
        </w:tabs>
        <w:ind w:left="993" w:right="-731" w:hanging="273"/>
        <w:jc w:val="both"/>
        <w:rPr>
          <w:lang w:val="fr-BE"/>
        </w:rPr>
      </w:pPr>
      <w:proofErr w:type="gramStart"/>
      <w:r w:rsidRPr="004F6011">
        <w:rPr>
          <w:lang w:val="fr-BE"/>
        </w:rPr>
        <w:t>o</w:t>
      </w:r>
      <w:proofErr w:type="gramEnd"/>
      <w:r w:rsidRPr="004F6011">
        <w:rPr>
          <w:lang w:val="fr-BE"/>
        </w:rPr>
        <w:tab/>
        <w:t xml:space="preserve"> Types d'activité à mener pour parvenir à chaque résultat avec une très vague indication des moyens aux niveaux national et européen. </w:t>
      </w:r>
    </w:p>
    <w:p w:rsidR="00B13FA6" w:rsidRPr="004F6011" w:rsidRDefault="00B13FA6" w:rsidP="00B13FA6">
      <w:pPr>
        <w:pStyle w:val="ListParagraph"/>
        <w:tabs>
          <w:tab w:val="left" w:pos="993"/>
        </w:tabs>
        <w:ind w:left="993" w:right="-731" w:hanging="273"/>
        <w:jc w:val="both"/>
        <w:rPr>
          <w:lang w:val="fr-BE"/>
        </w:rPr>
      </w:pPr>
      <w:proofErr w:type="gramStart"/>
      <w:r w:rsidRPr="004F6011">
        <w:rPr>
          <w:lang w:val="fr-BE"/>
        </w:rPr>
        <w:t>o</w:t>
      </w:r>
      <w:proofErr w:type="gramEnd"/>
      <w:r w:rsidRPr="004F6011">
        <w:rPr>
          <w:lang w:val="fr-BE"/>
        </w:rPr>
        <w:tab/>
        <w:t>Analyse des risques: ce qui pourrait influencer la mise en œuvre d</w:t>
      </w:r>
      <w:r w:rsidR="00590B28" w:rsidRPr="004F6011">
        <w:rPr>
          <w:lang w:val="fr-BE"/>
        </w:rPr>
        <w:t>u programme et comment gérer ces risques</w:t>
      </w:r>
      <w:r w:rsidRPr="004F6011">
        <w:rPr>
          <w:lang w:val="fr-BE"/>
        </w:rPr>
        <w:t>.</w:t>
      </w:r>
    </w:p>
    <w:p w:rsidR="00B13FA6" w:rsidRPr="004F6011" w:rsidRDefault="00B13FA6" w:rsidP="00B13FA6">
      <w:pPr>
        <w:pStyle w:val="ListParagraph"/>
        <w:tabs>
          <w:tab w:val="left" w:pos="993"/>
        </w:tabs>
        <w:ind w:right="-731"/>
        <w:jc w:val="both"/>
        <w:rPr>
          <w:lang w:val="fr-BE"/>
        </w:rPr>
      </w:pPr>
    </w:p>
    <w:p w:rsidR="00B13FA6" w:rsidRPr="004F6011" w:rsidRDefault="00B13FA6" w:rsidP="009D4B88">
      <w:pPr>
        <w:pStyle w:val="ListParagraph"/>
        <w:numPr>
          <w:ilvl w:val="0"/>
          <w:numId w:val="14"/>
        </w:numPr>
        <w:ind w:right="-731"/>
        <w:jc w:val="both"/>
        <w:rPr>
          <w:i/>
          <w:lang w:val="fr-BE"/>
        </w:rPr>
      </w:pPr>
      <w:r w:rsidRPr="004F6011">
        <w:rPr>
          <w:i/>
          <w:lang w:val="fr-BE"/>
        </w:rPr>
        <w:t xml:space="preserve">Critères communs de gestion </w:t>
      </w:r>
      <w:r w:rsidR="00590B28" w:rsidRPr="004F6011">
        <w:rPr>
          <w:i/>
          <w:lang w:val="fr-BE"/>
        </w:rPr>
        <w:t>– C</w:t>
      </w:r>
      <w:r w:rsidRPr="004F6011">
        <w:rPr>
          <w:i/>
          <w:lang w:val="fr-BE"/>
        </w:rPr>
        <w:t>omment</w:t>
      </w:r>
      <w:r w:rsidR="00590B28" w:rsidRPr="004F6011">
        <w:rPr>
          <w:i/>
          <w:lang w:val="fr-BE"/>
        </w:rPr>
        <w:t xml:space="preserve"> </w:t>
      </w:r>
      <w:r w:rsidRPr="004F6011">
        <w:rPr>
          <w:i/>
          <w:lang w:val="fr-BE"/>
        </w:rPr>
        <w:t>le programme va-t-il être mis en route ?</w:t>
      </w:r>
    </w:p>
    <w:p w:rsidR="00B13FA6" w:rsidRPr="004F6011" w:rsidRDefault="00B13FA6" w:rsidP="009D4B88">
      <w:pPr>
        <w:pStyle w:val="ListParagraph"/>
        <w:tabs>
          <w:tab w:val="left" w:pos="993"/>
        </w:tabs>
        <w:ind w:left="993" w:right="-731" w:hanging="273"/>
        <w:jc w:val="both"/>
        <w:rPr>
          <w:lang w:val="fr-BE"/>
        </w:rPr>
      </w:pPr>
      <w:proofErr w:type="gramStart"/>
      <w:r w:rsidRPr="004F6011">
        <w:rPr>
          <w:lang w:val="fr-BE"/>
        </w:rPr>
        <w:t>o</w:t>
      </w:r>
      <w:proofErr w:type="gramEnd"/>
      <w:r w:rsidRPr="004F6011">
        <w:rPr>
          <w:lang w:val="fr-BE"/>
        </w:rPr>
        <w:tab/>
        <w:t xml:space="preserve">Gestion du programme: rôle des membres dans les différents pays et rôle du secrétariat du RSDC </w:t>
      </w:r>
    </w:p>
    <w:p w:rsidR="00B13FA6" w:rsidRPr="004F6011" w:rsidRDefault="00B13FA6" w:rsidP="009D4B88">
      <w:pPr>
        <w:pStyle w:val="ListParagraph"/>
        <w:tabs>
          <w:tab w:val="left" w:pos="993"/>
        </w:tabs>
        <w:ind w:right="-731"/>
        <w:jc w:val="both"/>
        <w:rPr>
          <w:lang w:val="fr-BE"/>
        </w:rPr>
      </w:pPr>
      <w:proofErr w:type="gramStart"/>
      <w:r w:rsidRPr="004F6011">
        <w:rPr>
          <w:lang w:val="fr-BE"/>
        </w:rPr>
        <w:t>o</w:t>
      </w:r>
      <w:proofErr w:type="gramEnd"/>
      <w:r w:rsidRPr="004F6011">
        <w:rPr>
          <w:lang w:val="fr-BE"/>
        </w:rPr>
        <w:tab/>
        <w:t>Comité directeur / processus décisionnels</w:t>
      </w:r>
    </w:p>
    <w:p w:rsidR="00584B35" w:rsidRPr="004F6011" w:rsidRDefault="00584B35" w:rsidP="009D4B88">
      <w:pPr>
        <w:pStyle w:val="ListParagraph"/>
        <w:tabs>
          <w:tab w:val="left" w:pos="993"/>
        </w:tabs>
        <w:ind w:right="-731"/>
        <w:jc w:val="both"/>
        <w:rPr>
          <w:lang w:val="fr-BE"/>
        </w:rPr>
      </w:pPr>
      <w:proofErr w:type="gramStart"/>
      <w:r w:rsidRPr="004F6011">
        <w:rPr>
          <w:lang w:val="fr-BE"/>
        </w:rPr>
        <w:t>o</w:t>
      </w:r>
      <w:proofErr w:type="gramEnd"/>
      <w:r w:rsidRPr="004F6011">
        <w:rPr>
          <w:lang w:val="fr-BE"/>
        </w:rPr>
        <w:tab/>
        <w:t xml:space="preserve">Contributions propres </w:t>
      </w:r>
    </w:p>
    <w:p w:rsidR="006428AF" w:rsidRPr="004F6011" w:rsidRDefault="00B13FA6" w:rsidP="004C5C4F">
      <w:pPr>
        <w:pStyle w:val="ListParagraph"/>
        <w:tabs>
          <w:tab w:val="left" w:pos="993"/>
        </w:tabs>
        <w:ind w:left="993" w:right="-731" w:hanging="273"/>
        <w:jc w:val="both"/>
        <w:rPr>
          <w:lang w:val="fr-BE"/>
        </w:rPr>
      </w:pPr>
      <w:proofErr w:type="gramStart"/>
      <w:r w:rsidRPr="004F6011">
        <w:rPr>
          <w:lang w:val="fr-BE"/>
        </w:rPr>
        <w:t>o</w:t>
      </w:r>
      <w:proofErr w:type="gramEnd"/>
      <w:r w:rsidRPr="004F6011">
        <w:rPr>
          <w:lang w:val="fr-BE"/>
        </w:rPr>
        <w:tab/>
        <w:t xml:space="preserve">Vaste </w:t>
      </w:r>
      <w:r w:rsidR="00590B28" w:rsidRPr="004F6011">
        <w:rPr>
          <w:lang w:val="fr-BE"/>
        </w:rPr>
        <w:t xml:space="preserve">consensus </w:t>
      </w:r>
      <w:r w:rsidRPr="004F6011">
        <w:rPr>
          <w:lang w:val="fr-BE"/>
        </w:rPr>
        <w:t>sur le suivi et l'évaluation (comment cela sera fait, qui sera responsable de quoi, etc.), responsabilité mutuelle au sein du programme</w:t>
      </w:r>
    </w:p>
    <w:p w:rsidR="004C5C4F" w:rsidRPr="004F6011" w:rsidRDefault="004C5C4F" w:rsidP="004C5C4F">
      <w:pPr>
        <w:pStyle w:val="ListParagraph"/>
        <w:tabs>
          <w:tab w:val="left" w:pos="993"/>
        </w:tabs>
        <w:ind w:left="993" w:right="-731" w:hanging="273"/>
        <w:jc w:val="both"/>
        <w:rPr>
          <w:lang w:val="fr-BE"/>
        </w:rPr>
      </w:pPr>
    </w:p>
    <w:p w:rsidR="00B13FA6" w:rsidRPr="004F6011" w:rsidRDefault="00B13FA6" w:rsidP="009D4B88">
      <w:pPr>
        <w:pStyle w:val="ListParagraph"/>
        <w:numPr>
          <w:ilvl w:val="0"/>
          <w:numId w:val="14"/>
        </w:numPr>
        <w:ind w:right="-731"/>
        <w:rPr>
          <w:i/>
          <w:lang w:val="fr-BE"/>
        </w:rPr>
      </w:pPr>
      <w:r w:rsidRPr="004F6011">
        <w:rPr>
          <w:i/>
          <w:lang w:val="fr-BE"/>
        </w:rPr>
        <w:t xml:space="preserve">Plan d'action finalisé pour les prochaines étapes: </w:t>
      </w:r>
    </w:p>
    <w:p w:rsidR="009D4B88" w:rsidRPr="004F6011" w:rsidRDefault="009D4B88" w:rsidP="009D4B88">
      <w:pPr>
        <w:pStyle w:val="ListParagraph"/>
        <w:ind w:left="993" w:right="-731" w:hanging="273"/>
        <w:rPr>
          <w:lang w:val="fr-BE"/>
        </w:rPr>
      </w:pPr>
      <w:proofErr w:type="gramStart"/>
      <w:r w:rsidRPr="004F6011">
        <w:rPr>
          <w:lang w:val="fr-BE"/>
        </w:rPr>
        <w:t>o</w:t>
      </w:r>
      <w:proofErr w:type="gramEnd"/>
      <w:r w:rsidRPr="004F6011">
        <w:rPr>
          <w:lang w:val="fr-BE"/>
        </w:rPr>
        <w:tab/>
        <w:t xml:space="preserve">Finalisation du projet de programme </w:t>
      </w:r>
    </w:p>
    <w:p w:rsidR="009D4B88" w:rsidRPr="004F6011" w:rsidRDefault="009D4B88" w:rsidP="009D4B88">
      <w:pPr>
        <w:pStyle w:val="ListParagraph"/>
        <w:ind w:left="993" w:right="-731" w:hanging="273"/>
        <w:rPr>
          <w:lang w:val="fr-BE"/>
        </w:rPr>
      </w:pPr>
      <w:proofErr w:type="gramStart"/>
      <w:r w:rsidRPr="004F6011">
        <w:rPr>
          <w:lang w:val="fr-BE"/>
        </w:rPr>
        <w:t>o</w:t>
      </w:r>
      <w:proofErr w:type="gramEnd"/>
      <w:r w:rsidRPr="004F6011">
        <w:rPr>
          <w:lang w:val="fr-BE"/>
        </w:rPr>
        <w:tab/>
        <w:t xml:space="preserve">Finalisation du budget </w:t>
      </w:r>
    </w:p>
    <w:p w:rsidR="009D4B88" w:rsidRPr="004F6011" w:rsidRDefault="009D4B88" w:rsidP="009D4B88">
      <w:pPr>
        <w:pStyle w:val="ListParagraph"/>
        <w:ind w:left="993" w:right="-731" w:hanging="273"/>
        <w:rPr>
          <w:lang w:val="fr-BE"/>
        </w:rPr>
      </w:pPr>
      <w:proofErr w:type="gramStart"/>
      <w:r w:rsidRPr="004F6011">
        <w:rPr>
          <w:lang w:val="fr-BE"/>
        </w:rPr>
        <w:t>o</w:t>
      </w:r>
      <w:proofErr w:type="gramEnd"/>
      <w:r w:rsidRPr="004F6011">
        <w:rPr>
          <w:lang w:val="fr-BE"/>
        </w:rPr>
        <w:tab/>
        <w:t>Concrétisation de l'architecture du programme / mécanismes de gestion</w:t>
      </w:r>
    </w:p>
    <w:p w:rsidR="004C5C4F" w:rsidRPr="004F6011" w:rsidRDefault="004C5C4F" w:rsidP="003A4D1A">
      <w:pPr>
        <w:rPr>
          <w:b/>
          <w:i/>
          <w:lang w:val="fr-BE"/>
        </w:rPr>
      </w:pPr>
    </w:p>
    <w:p w:rsidR="00536418" w:rsidRPr="004F6011" w:rsidRDefault="004C5C4F" w:rsidP="003A4D1A">
      <w:pPr>
        <w:rPr>
          <w:rFonts w:ascii="Times New Roman" w:hAnsi="Times New Roman" w:cs="Times New Roman"/>
          <w:b/>
          <w:i/>
          <w:lang w:val="fr-BE"/>
        </w:rPr>
      </w:pPr>
      <w:r w:rsidRPr="004F6011">
        <w:rPr>
          <w:b/>
          <w:i/>
          <w:lang w:val="fr-BE"/>
        </w:rPr>
        <w:t xml:space="preserve">Approche méthodologique </w:t>
      </w:r>
    </w:p>
    <w:p w:rsidR="006F745D" w:rsidRPr="004F6011" w:rsidRDefault="00467329" w:rsidP="000F3EFF">
      <w:pPr>
        <w:ind w:right="-731"/>
        <w:jc w:val="both"/>
        <w:rPr>
          <w:lang w:val="fr-BE"/>
        </w:rPr>
      </w:pPr>
      <w:r w:rsidRPr="004F6011">
        <w:rPr>
          <w:lang w:val="fr-BE"/>
        </w:rPr>
        <w:t xml:space="preserve">L'atelier se déroulera de façon très interactive, par groupes de travail, séances de réflexion et discussions. Comme cela est précisé dans l'ordre du jour, le premier jour sera principalement consacré à l'échange de points de vue et de perspectives, et aux contenus du programme, alors que le second jour, les participants se concentreront également sur l'architecture du programme et sur les engagements qu'il suppose en matière de gestion. </w:t>
      </w:r>
    </w:p>
    <w:p w:rsidR="00584B35" w:rsidRPr="004F6011" w:rsidRDefault="00584B35" w:rsidP="000F3EFF">
      <w:pPr>
        <w:ind w:right="-731"/>
        <w:jc w:val="both"/>
        <w:rPr>
          <w:rStyle w:val="IntenseReference"/>
          <w:b w:val="0"/>
          <w:bCs w:val="0"/>
          <w:smallCaps w:val="0"/>
          <w:color w:val="auto"/>
          <w:spacing w:val="0"/>
          <w:u w:val="none"/>
          <w:lang w:val="fr-BE"/>
        </w:rPr>
      </w:pPr>
      <w:r w:rsidRPr="004F6011">
        <w:rPr>
          <w:lang w:val="fr-BE"/>
        </w:rPr>
        <w:t>Nous vous invitons à lire les documents mentionnés dans les notes en bas de page afin d'acquérir une compréhension préliminaire de la tâche à laquelle nous avons décidé de nous atteler.</w:t>
      </w:r>
      <w:r w:rsidR="0003040C" w:rsidRPr="004F6011">
        <w:rPr>
          <w:lang w:val="fr-BE"/>
        </w:rPr>
        <w:t xml:space="preserve"> </w:t>
      </w:r>
      <w:r w:rsidRPr="004F6011">
        <w:rPr>
          <w:lang w:val="fr-BE"/>
        </w:rPr>
        <w:t xml:space="preserve">Toute documentation relative à vos activités d'éducation au développement est la bienvenue pour que notre </w:t>
      </w:r>
      <w:r w:rsidR="0003040C" w:rsidRPr="004F6011">
        <w:rPr>
          <w:lang w:val="fr-BE"/>
        </w:rPr>
        <w:t>« </w:t>
      </w:r>
      <w:r w:rsidRPr="004F6011">
        <w:rPr>
          <w:lang w:val="fr-BE"/>
        </w:rPr>
        <w:t>examen de la réalité</w:t>
      </w:r>
      <w:r w:rsidR="0003040C" w:rsidRPr="004F6011">
        <w:rPr>
          <w:lang w:val="fr-BE"/>
        </w:rPr>
        <w:t> »</w:t>
      </w:r>
      <w:r w:rsidRPr="004F6011">
        <w:rPr>
          <w:lang w:val="fr-BE"/>
        </w:rPr>
        <w:t xml:space="preserve"> devienne réaliste et </w:t>
      </w:r>
      <w:r w:rsidR="00393ECA" w:rsidRPr="004F6011">
        <w:rPr>
          <w:lang w:val="fr-BE"/>
        </w:rPr>
        <w:t xml:space="preserve">s'appuie </w:t>
      </w:r>
      <w:r w:rsidRPr="004F6011">
        <w:rPr>
          <w:lang w:val="fr-BE"/>
        </w:rPr>
        <w:t xml:space="preserve">sur des </w:t>
      </w:r>
      <w:r w:rsidR="0003040C" w:rsidRPr="004F6011">
        <w:rPr>
          <w:lang w:val="fr-BE"/>
        </w:rPr>
        <w:t>« </w:t>
      </w:r>
      <w:r w:rsidRPr="004F6011">
        <w:rPr>
          <w:lang w:val="fr-BE"/>
        </w:rPr>
        <w:t>preuves</w:t>
      </w:r>
      <w:r w:rsidR="0003040C" w:rsidRPr="004F6011">
        <w:rPr>
          <w:lang w:val="fr-BE"/>
        </w:rPr>
        <w:t> »</w:t>
      </w:r>
      <w:r w:rsidRPr="004F6011">
        <w:rPr>
          <w:lang w:val="fr-BE"/>
        </w:rPr>
        <w:t xml:space="preserve">. </w:t>
      </w:r>
    </w:p>
    <w:sectPr w:rsidR="00584B35" w:rsidRPr="004F6011" w:rsidSect="00ED7033">
      <w:headerReference w:type="even" r:id="rId11"/>
      <w:headerReference w:type="default" r:id="rId12"/>
      <w:footerReference w:type="even" r:id="rId13"/>
      <w:footerReference w:type="default" r:id="rId14"/>
      <w:headerReference w:type="first" r:id="rId15"/>
      <w:footerReference w:type="first" r:id="rId16"/>
      <w:pgSz w:w="11906" w:h="16838"/>
      <w:pgMar w:top="1134" w:right="2550" w:bottom="1134"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0F9" w:rsidRDefault="007640F9" w:rsidP="00D0108B">
      <w:pPr>
        <w:spacing w:after="0" w:line="240" w:lineRule="auto"/>
      </w:pPr>
      <w:r>
        <w:separator/>
      </w:r>
    </w:p>
  </w:endnote>
  <w:endnote w:type="continuationSeparator" w:id="0">
    <w:p w:rsidR="007640F9" w:rsidRDefault="007640F9" w:rsidP="00D01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40C" w:rsidRDefault="000304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512" w:type="dxa"/>
      <w:tblInd w:w="108" w:type="dxa"/>
      <w:tblLook w:val="04A0" w:firstRow="1" w:lastRow="0" w:firstColumn="1" w:lastColumn="0" w:noHBand="0" w:noVBand="1"/>
    </w:tblPr>
    <w:tblGrid>
      <w:gridCol w:w="1176"/>
      <w:gridCol w:w="6536"/>
    </w:tblGrid>
    <w:tr w:rsidR="00ED7033" w:rsidRPr="00E11F99" w:rsidTr="00ED7033">
      <w:trPr>
        <w:trHeight w:val="300"/>
      </w:trPr>
      <w:tc>
        <w:tcPr>
          <w:tcW w:w="976" w:type="dxa"/>
          <w:vMerge w:val="restart"/>
          <w:tcBorders>
            <w:top w:val="nil"/>
            <w:left w:val="nil"/>
            <w:bottom w:val="nil"/>
            <w:right w:val="nil"/>
          </w:tcBorders>
          <w:shd w:val="clear" w:color="auto" w:fill="auto"/>
          <w:noWrap/>
          <w:vAlign w:val="bottom"/>
          <w:hideMark/>
        </w:tcPr>
        <w:p w:rsidR="00ED7033" w:rsidRPr="00ED7033" w:rsidRDefault="00ED7033" w:rsidP="00ED7033">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61312" behindDoc="0" locked="0" layoutInCell="1" allowOverlap="1">
                <wp:simplePos x="0" y="0"/>
                <wp:positionH relativeFrom="column">
                  <wp:posOffset>133350</wp:posOffset>
                </wp:positionH>
                <wp:positionV relativeFrom="paragraph">
                  <wp:posOffset>-194310</wp:posOffset>
                </wp:positionV>
                <wp:extent cx="352425" cy="238125"/>
                <wp:effectExtent l="0" t="0" r="9525" b="9525"/>
                <wp:wrapNone/>
                <wp:docPr id="7" name="Picture 7" descr="eu banner.gif"/>
                <wp:cNvGraphicFramePr/>
                <a:graphic xmlns:a="http://schemas.openxmlformats.org/drawingml/2006/main">
                  <a:graphicData uri="http://schemas.openxmlformats.org/drawingml/2006/picture">
                    <pic:pic xmlns:pic="http://schemas.openxmlformats.org/drawingml/2006/picture">
                      <pic:nvPicPr>
                        <pic:cNvPr id="3" name="Picture 2" descr="eu banner.gif"/>
                        <pic:cNvPicPr/>
                      </pic:nvPicPr>
                      <pic:blipFill>
                        <a:blip r:embed="rId1"/>
                        <a:stretch>
                          <a:fillRect/>
                        </a:stretch>
                      </pic:blipFill>
                      <pic:spPr>
                        <a:xfrm>
                          <a:off x="0" y="0"/>
                          <a:ext cx="352425" cy="238125"/>
                        </a:xfrm>
                        <a:prstGeom prst="rect">
                          <a:avLst/>
                        </a:prstGeom>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ED7033" w:rsidRPr="00ED7033">
            <w:trPr>
              <w:trHeight w:val="270"/>
              <w:tblCellSpacing w:w="0" w:type="dxa"/>
            </w:trPr>
            <w:tc>
              <w:tcPr>
                <w:tcW w:w="960" w:type="dxa"/>
                <w:vMerge w:val="restart"/>
                <w:tcBorders>
                  <w:top w:val="nil"/>
                  <w:left w:val="nil"/>
                  <w:bottom w:val="nil"/>
                  <w:right w:val="nil"/>
                </w:tcBorders>
                <w:shd w:val="clear" w:color="auto" w:fill="auto"/>
                <w:noWrap/>
                <w:vAlign w:val="bottom"/>
                <w:hideMark/>
              </w:tcPr>
              <w:p w:rsidR="00ED7033" w:rsidRPr="00ED7033" w:rsidRDefault="00ED7033" w:rsidP="00ED7033">
                <w:pPr>
                  <w:spacing w:after="0" w:line="240" w:lineRule="auto"/>
                  <w:jc w:val="center"/>
                  <w:rPr>
                    <w:rFonts w:ascii="Calibri" w:eastAsia="Times New Roman" w:hAnsi="Calibri" w:cs="Times New Roman"/>
                    <w:color w:val="000000"/>
                  </w:rPr>
                </w:pPr>
              </w:p>
            </w:tc>
          </w:tr>
          <w:tr w:rsidR="00ED7033" w:rsidRPr="00ED7033">
            <w:trPr>
              <w:trHeight w:val="270"/>
              <w:tblCellSpacing w:w="0" w:type="dxa"/>
            </w:trPr>
            <w:tc>
              <w:tcPr>
                <w:tcW w:w="0" w:type="auto"/>
                <w:vMerge/>
                <w:tcBorders>
                  <w:top w:val="nil"/>
                  <w:left w:val="nil"/>
                  <w:bottom w:val="nil"/>
                  <w:right w:val="nil"/>
                </w:tcBorders>
                <w:vAlign w:val="center"/>
                <w:hideMark/>
              </w:tcPr>
              <w:p w:rsidR="00ED7033" w:rsidRPr="00ED7033" w:rsidRDefault="00ED7033" w:rsidP="00ED7033">
                <w:pPr>
                  <w:spacing w:after="0" w:line="240" w:lineRule="auto"/>
                  <w:rPr>
                    <w:rFonts w:ascii="Calibri" w:eastAsia="Times New Roman" w:hAnsi="Calibri" w:cs="Times New Roman"/>
                    <w:color w:val="000000"/>
                  </w:rPr>
                </w:pPr>
              </w:p>
            </w:tc>
          </w:tr>
        </w:tbl>
        <w:p w:rsidR="00ED7033" w:rsidRPr="00ED7033" w:rsidRDefault="00ED7033" w:rsidP="00ED7033">
          <w:pPr>
            <w:spacing w:after="0" w:line="240" w:lineRule="auto"/>
            <w:rPr>
              <w:rFonts w:ascii="Calibri" w:eastAsia="Times New Roman" w:hAnsi="Calibri" w:cs="Times New Roman"/>
              <w:color w:val="000000"/>
            </w:rPr>
          </w:pPr>
        </w:p>
      </w:tc>
      <w:tc>
        <w:tcPr>
          <w:tcW w:w="6536" w:type="dxa"/>
          <w:tcBorders>
            <w:top w:val="nil"/>
            <w:left w:val="nil"/>
            <w:bottom w:val="nil"/>
            <w:right w:val="nil"/>
          </w:tcBorders>
          <w:shd w:val="clear" w:color="auto" w:fill="auto"/>
          <w:noWrap/>
          <w:vAlign w:val="center"/>
          <w:hideMark/>
        </w:tcPr>
        <w:p w:rsidR="00ED7033" w:rsidRPr="004F6011" w:rsidRDefault="00ED7033" w:rsidP="00ED7033">
          <w:pPr>
            <w:spacing w:after="0" w:line="240" w:lineRule="auto"/>
            <w:rPr>
              <w:rFonts w:ascii="Calibri" w:eastAsia="Times New Roman" w:hAnsi="Calibri" w:cs="Times New Roman"/>
              <w:i/>
              <w:iCs/>
              <w:color w:val="000000"/>
              <w:sz w:val="18"/>
              <w:szCs w:val="18"/>
              <w:lang w:val="fr-BE"/>
            </w:rPr>
          </w:pPr>
          <w:r w:rsidRPr="004F6011">
            <w:rPr>
              <w:rFonts w:ascii="Calibri" w:hAnsi="Calibri"/>
              <w:i/>
              <w:color w:val="000000"/>
              <w:sz w:val="18"/>
              <w:lang w:val="fr-BE"/>
            </w:rPr>
            <w:t>Cette réunion est organisée avec l’aide financière de l’Union européenne.</w:t>
          </w:r>
        </w:p>
      </w:tc>
    </w:tr>
    <w:tr w:rsidR="00ED7033" w:rsidRPr="00E11F99" w:rsidTr="00ED7033">
      <w:trPr>
        <w:trHeight w:val="885"/>
      </w:trPr>
      <w:tc>
        <w:tcPr>
          <w:tcW w:w="976" w:type="dxa"/>
          <w:vMerge/>
          <w:tcBorders>
            <w:top w:val="nil"/>
            <w:left w:val="nil"/>
            <w:bottom w:val="nil"/>
            <w:right w:val="nil"/>
          </w:tcBorders>
          <w:vAlign w:val="center"/>
          <w:hideMark/>
        </w:tcPr>
        <w:p w:rsidR="00ED7033" w:rsidRPr="004F6011" w:rsidRDefault="00ED7033" w:rsidP="00ED7033">
          <w:pPr>
            <w:spacing w:after="0" w:line="240" w:lineRule="auto"/>
            <w:rPr>
              <w:rFonts w:ascii="Calibri" w:eastAsia="Times New Roman" w:hAnsi="Calibri" w:cs="Times New Roman"/>
              <w:color w:val="000000"/>
              <w:lang w:val="fr-BE"/>
            </w:rPr>
          </w:pPr>
        </w:p>
      </w:tc>
      <w:tc>
        <w:tcPr>
          <w:tcW w:w="6536" w:type="dxa"/>
          <w:tcBorders>
            <w:top w:val="nil"/>
            <w:left w:val="nil"/>
            <w:bottom w:val="nil"/>
            <w:right w:val="nil"/>
          </w:tcBorders>
          <w:shd w:val="clear" w:color="auto" w:fill="auto"/>
          <w:hideMark/>
        </w:tcPr>
        <w:p w:rsidR="00ED7033" w:rsidRPr="004F6011" w:rsidRDefault="00ED7033" w:rsidP="003F6F0D">
          <w:pPr>
            <w:spacing w:after="0" w:line="240" w:lineRule="auto"/>
            <w:rPr>
              <w:rFonts w:ascii="Calibri" w:eastAsia="Times New Roman" w:hAnsi="Calibri" w:cs="Times New Roman"/>
              <w:i/>
              <w:iCs/>
              <w:color w:val="000000"/>
              <w:sz w:val="18"/>
              <w:szCs w:val="18"/>
              <w:lang w:val="fr-BE"/>
            </w:rPr>
          </w:pPr>
          <w:r w:rsidRPr="004F6011">
            <w:rPr>
              <w:rFonts w:ascii="Calibri" w:hAnsi="Calibri"/>
              <w:i/>
              <w:color w:val="000000"/>
              <w:sz w:val="18"/>
              <w:lang w:val="fr-BE"/>
            </w:rPr>
            <w:t>Le contenu de la réunion et du présent document relève exclusivement de la responsabilité du RSDC, et ne peut en aucun cas être considéré comme reflétant la position de l'Union européenne.</w:t>
          </w:r>
        </w:p>
      </w:tc>
    </w:tr>
  </w:tbl>
  <w:p w:rsidR="0065783B" w:rsidRPr="004F6011" w:rsidRDefault="0065783B">
    <w:pPr>
      <w:pStyle w:val="Footer"/>
      <w:rPr>
        <w:i/>
        <w:sz w:val="18"/>
        <w:szCs w:val="18"/>
        <w:lang w:val="fr-BE"/>
      </w:rPr>
    </w:pPr>
    <w:r w:rsidRPr="004F6011">
      <w:rPr>
        <w:lang w:val="fr-BE"/>
      </w:rPr>
      <w:tab/>
    </w:r>
    <w:r w:rsidRPr="004F6011">
      <w:rPr>
        <w:lang w:val="fr-B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512" w:type="dxa"/>
      <w:tblInd w:w="108" w:type="dxa"/>
      <w:tblLook w:val="04A0" w:firstRow="1" w:lastRow="0" w:firstColumn="1" w:lastColumn="0" w:noHBand="0" w:noVBand="1"/>
    </w:tblPr>
    <w:tblGrid>
      <w:gridCol w:w="1176"/>
      <w:gridCol w:w="6536"/>
    </w:tblGrid>
    <w:tr w:rsidR="00ED7033" w:rsidRPr="00E11F99" w:rsidTr="00ED7033">
      <w:trPr>
        <w:trHeight w:val="300"/>
      </w:trPr>
      <w:tc>
        <w:tcPr>
          <w:tcW w:w="976" w:type="dxa"/>
          <w:vMerge w:val="restart"/>
          <w:tcBorders>
            <w:top w:val="nil"/>
            <w:left w:val="nil"/>
            <w:bottom w:val="nil"/>
            <w:right w:val="nil"/>
          </w:tcBorders>
          <w:shd w:val="clear" w:color="auto" w:fill="auto"/>
          <w:noWrap/>
          <w:vAlign w:val="bottom"/>
          <w:hideMark/>
        </w:tcPr>
        <w:p w:rsidR="00ED7033" w:rsidRPr="00ED7033" w:rsidRDefault="00ED7033" w:rsidP="00ED7033">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59264" behindDoc="0" locked="0" layoutInCell="1" allowOverlap="1">
                <wp:simplePos x="0" y="0"/>
                <wp:positionH relativeFrom="column">
                  <wp:posOffset>133350</wp:posOffset>
                </wp:positionH>
                <wp:positionV relativeFrom="paragraph">
                  <wp:posOffset>-194310</wp:posOffset>
                </wp:positionV>
                <wp:extent cx="352425" cy="238125"/>
                <wp:effectExtent l="0" t="0" r="9525" b="9525"/>
                <wp:wrapNone/>
                <wp:docPr id="5" name="Picture 5" descr="eu banner.gif"/>
                <wp:cNvGraphicFramePr/>
                <a:graphic xmlns:a="http://schemas.openxmlformats.org/drawingml/2006/main">
                  <a:graphicData uri="http://schemas.openxmlformats.org/drawingml/2006/picture">
                    <pic:pic xmlns:pic="http://schemas.openxmlformats.org/drawingml/2006/picture">
                      <pic:nvPicPr>
                        <pic:cNvPr id="3" name="Picture 2" descr="eu banner.gif"/>
                        <pic:cNvPicPr/>
                      </pic:nvPicPr>
                      <pic:blipFill>
                        <a:blip r:embed="rId1"/>
                        <a:stretch>
                          <a:fillRect/>
                        </a:stretch>
                      </pic:blipFill>
                      <pic:spPr>
                        <a:xfrm>
                          <a:off x="0" y="0"/>
                          <a:ext cx="352425" cy="238125"/>
                        </a:xfrm>
                        <a:prstGeom prst="rect">
                          <a:avLst/>
                        </a:prstGeom>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ED7033" w:rsidRPr="00ED7033">
            <w:trPr>
              <w:trHeight w:val="270"/>
              <w:tblCellSpacing w:w="0" w:type="dxa"/>
            </w:trPr>
            <w:tc>
              <w:tcPr>
                <w:tcW w:w="960" w:type="dxa"/>
                <w:vMerge w:val="restart"/>
                <w:tcBorders>
                  <w:top w:val="nil"/>
                  <w:left w:val="nil"/>
                  <w:bottom w:val="nil"/>
                  <w:right w:val="nil"/>
                </w:tcBorders>
                <w:shd w:val="clear" w:color="auto" w:fill="auto"/>
                <w:noWrap/>
                <w:vAlign w:val="bottom"/>
                <w:hideMark/>
              </w:tcPr>
              <w:p w:rsidR="00ED7033" w:rsidRPr="00ED7033" w:rsidRDefault="00ED7033" w:rsidP="00ED7033">
                <w:pPr>
                  <w:spacing w:after="0" w:line="240" w:lineRule="auto"/>
                  <w:jc w:val="center"/>
                  <w:rPr>
                    <w:rFonts w:ascii="Calibri" w:eastAsia="Times New Roman" w:hAnsi="Calibri" w:cs="Times New Roman"/>
                    <w:color w:val="000000"/>
                  </w:rPr>
                </w:pPr>
              </w:p>
            </w:tc>
          </w:tr>
          <w:tr w:rsidR="00ED7033" w:rsidRPr="00ED7033">
            <w:trPr>
              <w:trHeight w:val="270"/>
              <w:tblCellSpacing w:w="0" w:type="dxa"/>
            </w:trPr>
            <w:tc>
              <w:tcPr>
                <w:tcW w:w="0" w:type="auto"/>
                <w:vMerge/>
                <w:tcBorders>
                  <w:top w:val="nil"/>
                  <w:left w:val="nil"/>
                  <w:bottom w:val="nil"/>
                  <w:right w:val="nil"/>
                </w:tcBorders>
                <w:vAlign w:val="center"/>
                <w:hideMark/>
              </w:tcPr>
              <w:p w:rsidR="00ED7033" w:rsidRPr="00ED7033" w:rsidRDefault="00ED7033" w:rsidP="00ED7033">
                <w:pPr>
                  <w:spacing w:after="0" w:line="240" w:lineRule="auto"/>
                  <w:rPr>
                    <w:rFonts w:ascii="Calibri" w:eastAsia="Times New Roman" w:hAnsi="Calibri" w:cs="Times New Roman"/>
                    <w:color w:val="000000"/>
                  </w:rPr>
                </w:pPr>
              </w:p>
            </w:tc>
          </w:tr>
        </w:tbl>
        <w:p w:rsidR="00ED7033" w:rsidRPr="00ED7033" w:rsidRDefault="00ED7033" w:rsidP="00ED7033">
          <w:pPr>
            <w:spacing w:after="0" w:line="240" w:lineRule="auto"/>
            <w:rPr>
              <w:rFonts w:ascii="Calibri" w:eastAsia="Times New Roman" w:hAnsi="Calibri" w:cs="Times New Roman"/>
              <w:color w:val="000000"/>
            </w:rPr>
          </w:pPr>
        </w:p>
      </w:tc>
      <w:tc>
        <w:tcPr>
          <w:tcW w:w="6536" w:type="dxa"/>
          <w:tcBorders>
            <w:top w:val="nil"/>
            <w:left w:val="nil"/>
            <w:bottom w:val="nil"/>
            <w:right w:val="nil"/>
          </w:tcBorders>
          <w:shd w:val="clear" w:color="auto" w:fill="auto"/>
          <w:noWrap/>
          <w:vAlign w:val="center"/>
          <w:hideMark/>
        </w:tcPr>
        <w:p w:rsidR="00ED7033" w:rsidRPr="004F6011" w:rsidRDefault="00ED7033" w:rsidP="00ED7033">
          <w:pPr>
            <w:spacing w:after="0" w:line="240" w:lineRule="auto"/>
            <w:rPr>
              <w:rFonts w:ascii="Calibri" w:eastAsia="Times New Roman" w:hAnsi="Calibri" w:cs="Times New Roman"/>
              <w:i/>
              <w:iCs/>
              <w:color w:val="000000"/>
              <w:sz w:val="18"/>
              <w:szCs w:val="18"/>
              <w:lang w:val="fr-BE"/>
            </w:rPr>
          </w:pPr>
          <w:r w:rsidRPr="004F6011">
            <w:rPr>
              <w:rFonts w:ascii="Calibri" w:hAnsi="Calibri"/>
              <w:i/>
              <w:color w:val="000000"/>
              <w:sz w:val="18"/>
              <w:lang w:val="fr-BE"/>
            </w:rPr>
            <w:t>Cette réunion est organisée avec l’aide financière de l’Union européenne.</w:t>
          </w:r>
        </w:p>
      </w:tc>
    </w:tr>
    <w:tr w:rsidR="00ED7033" w:rsidRPr="00E11F99" w:rsidTr="00ED7033">
      <w:trPr>
        <w:trHeight w:val="885"/>
      </w:trPr>
      <w:tc>
        <w:tcPr>
          <w:tcW w:w="976" w:type="dxa"/>
          <w:vMerge/>
          <w:tcBorders>
            <w:top w:val="nil"/>
            <w:left w:val="nil"/>
            <w:bottom w:val="nil"/>
            <w:right w:val="nil"/>
          </w:tcBorders>
          <w:vAlign w:val="center"/>
          <w:hideMark/>
        </w:tcPr>
        <w:p w:rsidR="00ED7033" w:rsidRPr="004F6011" w:rsidRDefault="00ED7033" w:rsidP="00ED7033">
          <w:pPr>
            <w:spacing w:after="0" w:line="240" w:lineRule="auto"/>
            <w:rPr>
              <w:rFonts w:ascii="Calibri" w:eastAsia="Times New Roman" w:hAnsi="Calibri" w:cs="Times New Roman"/>
              <w:color w:val="000000"/>
              <w:lang w:val="fr-BE"/>
            </w:rPr>
          </w:pPr>
        </w:p>
      </w:tc>
      <w:tc>
        <w:tcPr>
          <w:tcW w:w="6536" w:type="dxa"/>
          <w:tcBorders>
            <w:top w:val="nil"/>
            <w:left w:val="nil"/>
            <w:bottom w:val="nil"/>
            <w:right w:val="nil"/>
          </w:tcBorders>
          <w:shd w:val="clear" w:color="auto" w:fill="auto"/>
          <w:hideMark/>
        </w:tcPr>
        <w:p w:rsidR="00ED7033" w:rsidRPr="004F6011" w:rsidRDefault="00ED7033" w:rsidP="003F6F0D">
          <w:pPr>
            <w:spacing w:after="0" w:line="240" w:lineRule="auto"/>
            <w:rPr>
              <w:rFonts w:ascii="Calibri" w:eastAsia="Times New Roman" w:hAnsi="Calibri" w:cs="Times New Roman"/>
              <w:i/>
              <w:iCs/>
              <w:color w:val="000000"/>
              <w:sz w:val="18"/>
              <w:szCs w:val="18"/>
              <w:lang w:val="fr-BE"/>
            </w:rPr>
          </w:pPr>
          <w:r w:rsidRPr="004F6011">
            <w:rPr>
              <w:rFonts w:ascii="Calibri" w:hAnsi="Calibri"/>
              <w:i/>
              <w:color w:val="000000"/>
              <w:sz w:val="18"/>
              <w:lang w:val="fr-BE"/>
            </w:rPr>
            <w:t>Le contenu de la réunion et du présent document relève exclusivement de la responsabilité du RSDC, et ne peut en aucun cas être considéré comme reflétant la position de l'Union européenne.</w:t>
          </w:r>
        </w:p>
      </w:tc>
    </w:tr>
  </w:tbl>
  <w:p w:rsidR="0065783B" w:rsidRPr="004F6011" w:rsidRDefault="0065783B" w:rsidP="004F25B8">
    <w:pPr>
      <w:pStyle w:val="Footer"/>
      <w:tabs>
        <w:tab w:val="clear" w:pos="4513"/>
      </w:tabs>
      <w:ind w:left="1276" w:right="-873"/>
      <w:rPr>
        <w:i/>
        <w:sz w:val="18"/>
        <w:szCs w:val="18"/>
        <w:lang w:val="fr-BE"/>
      </w:rPr>
    </w:pPr>
    <w:r w:rsidRPr="004F6011">
      <w:rPr>
        <w:lang w:val="fr-BE"/>
      </w:rPr>
      <w:tab/>
    </w:r>
    <w:r w:rsidRPr="004F6011">
      <w:rPr>
        <w:lang w:val="fr-BE"/>
      </w:rPr>
      <w:tab/>
    </w:r>
  </w:p>
  <w:p w:rsidR="0065783B" w:rsidRPr="004F6011" w:rsidRDefault="0065783B">
    <w:pPr>
      <w:pStyle w:val="Footer"/>
      <w:rPr>
        <w:lang w:val="fr-BE"/>
      </w:rPr>
    </w:pPr>
  </w:p>
  <w:p w:rsidR="0065783B" w:rsidRPr="004F6011" w:rsidRDefault="0065783B">
    <w:pPr>
      <w:pStyle w:val="Footer"/>
      <w:rPr>
        <w:lang w:val="fr-BE"/>
      </w:rPr>
    </w:pPr>
  </w:p>
  <w:p w:rsidR="0065783B" w:rsidRPr="004F6011" w:rsidRDefault="0065783B">
    <w:pPr>
      <w:pStyle w:val="Footer"/>
      <w:rPr>
        <w:i/>
        <w:sz w:val="18"/>
        <w:szCs w:val="18"/>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0F9" w:rsidRDefault="007640F9" w:rsidP="00D0108B">
      <w:pPr>
        <w:spacing w:after="0" w:line="240" w:lineRule="auto"/>
      </w:pPr>
      <w:r>
        <w:separator/>
      </w:r>
    </w:p>
  </w:footnote>
  <w:footnote w:type="continuationSeparator" w:id="0">
    <w:p w:rsidR="007640F9" w:rsidRDefault="007640F9" w:rsidP="00D0108B">
      <w:pPr>
        <w:spacing w:after="0" w:line="240" w:lineRule="auto"/>
      </w:pPr>
      <w:r>
        <w:continuationSeparator/>
      </w:r>
    </w:p>
  </w:footnote>
  <w:footnote w:id="1">
    <w:p w:rsidR="008614F5" w:rsidRPr="0071000C" w:rsidRDefault="008614F5" w:rsidP="001178D6">
      <w:pPr>
        <w:pStyle w:val="FootnoteText"/>
        <w:ind w:left="142" w:right="-731" w:hanging="142"/>
        <w:jc w:val="both"/>
        <w:rPr>
          <w:sz w:val="18"/>
          <w:szCs w:val="18"/>
        </w:rPr>
      </w:pPr>
      <w:r>
        <w:rPr>
          <w:rStyle w:val="FootnoteReference"/>
        </w:rPr>
        <w:footnoteRef/>
      </w:r>
      <w:hyperlink r:id="rId1">
        <w:r>
          <w:rPr>
            <w:rStyle w:val="Hyperlink"/>
            <w:sz w:val="18"/>
          </w:rPr>
          <w:t>https://webgate.ec.europa.eu/fpfis/mwikis/aidco/index.php/DEAR:_Development_education_and_awareness_raising:_concept</w:t>
        </w:r>
      </w:hyperlink>
      <w:r>
        <w:rPr>
          <w:sz w:val="18"/>
        </w:rPr>
        <w:t xml:space="preserve"> </w:t>
      </w:r>
    </w:p>
    <w:p w:rsidR="008614F5" w:rsidRDefault="008614F5" w:rsidP="001178D6">
      <w:pPr>
        <w:pStyle w:val="FootnoteText"/>
        <w:ind w:right="-731"/>
      </w:pPr>
    </w:p>
  </w:footnote>
  <w:footnote w:id="2">
    <w:p w:rsidR="00E94B38" w:rsidRPr="004F6011" w:rsidRDefault="00E94B38" w:rsidP="001178D6">
      <w:pPr>
        <w:pStyle w:val="FootnoteText"/>
        <w:ind w:left="142" w:right="-731" w:hanging="142"/>
        <w:rPr>
          <w:sz w:val="18"/>
          <w:szCs w:val="18"/>
          <w:lang w:val="fr-BE"/>
        </w:rPr>
      </w:pPr>
      <w:r>
        <w:rPr>
          <w:rStyle w:val="FootnoteReference"/>
        </w:rPr>
        <w:footnoteRef/>
      </w:r>
      <w:r w:rsidRPr="004F6011">
        <w:rPr>
          <w:lang w:val="fr-BE"/>
        </w:rPr>
        <w:t xml:space="preserve"> </w:t>
      </w:r>
      <w:r w:rsidRPr="004F6011">
        <w:rPr>
          <w:sz w:val="18"/>
          <w:lang w:val="fr-BE"/>
        </w:rPr>
        <w:t>Pour plus d'informations</w:t>
      </w:r>
      <w:r w:rsidR="0003040C" w:rsidRPr="004F6011">
        <w:rPr>
          <w:sz w:val="18"/>
          <w:lang w:val="fr-BE"/>
        </w:rPr>
        <w:t xml:space="preserve">, </w:t>
      </w:r>
      <w:r w:rsidRPr="004F6011">
        <w:rPr>
          <w:sz w:val="18"/>
          <w:lang w:val="fr-BE"/>
        </w:rPr>
        <w:t>vous pouvez consulter le</w:t>
      </w:r>
      <w:r w:rsidRPr="004F6011">
        <w:rPr>
          <w:lang w:val="fr-BE"/>
        </w:rPr>
        <w:t xml:space="preserve"> </w:t>
      </w:r>
      <w:hyperlink r:id="rId2" w:tooltip="DEAR SWD 2012 457 STAFF WORKING PAPER EN.pdf">
        <w:r w:rsidRPr="004F6011">
          <w:rPr>
            <w:rStyle w:val="Hyperlink"/>
            <w:sz w:val="18"/>
            <w:lang w:val="fr-BE"/>
          </w:rPr>
          <w:t>document de travail</w:t>
        </w:r>
        <w:r w:rsidR="0003040C" w:rsidRPr="004F6011">
          <w:rPr>
            <w:rStyle w:val="Hyperlink"/>
            <w:sz w:val="18"/>
            <w:lang w:val="fr-BE"/>
          </w:rPr>
          <w:t> </w:t>
        </w:r>
        <w:r w:rsidRPr="004F6011">
          <w:rPr>
            <w:rStyle w:val="Hyperlink"/>
            <w:sz w:val="18"/>
            <w:lang w:val="fr-BE"/>
          </w:rPr>
          <w:t>2012 de la Commission</w:t>
        </w:r>
      </w:hyperlink>
      <w:r w:rsidRPr="004F6011">
        <w:rPr>
          <w:lang w:val="fr-BE"/>
        </w:rPr>
        <w:t>.</w:t>
      </w:r>
      <w:r w:rsidRPr="004F6011">
        <w:rPr>
          <w:sz w:val="18"/>
          <w:lang w:val="fr-BE"/>
        </w:rPr>
        <w:t xml:space="preserve"> Il étayera les nouvelles propositions de la C</w:t>
      </w:r>
      <w:r w:rsidR="003F6F0D" w:rsidRPr="004F6011">
        <w:rPr>
          <w:sz w:val="18"/>
          <w:lang w:val="fr-BE"/>
        </w:rPr>
        <w:t xml:space="preserve">E </w:t>
      </w:r>
      <w:r w:rsidRPr="004F6011">
        <w:rPr>
          <w:sz w:val="18"/>
          <w:lang w:val="fr-BE"/>
        </w:rPr>
        <w:t>en matière de stratégie DEAR qui sera conçue dans le cadre du Programme thématique pour la société civile et les autorités locales pour 2014-2020.</w:t>
      </w:r>
    </w:p>
    <w:p w:rsidR="00E94B38" w:rsidRPr="004F6011" w:rsidRDefault="00E94B38" w:rsidP="001178D6">
      <w:pPr>
        <w:pStyle w:val="FootnoteText"/>
        <w:ind w:right="-731"/>
        <w:rPr>
          <w:lang w:val="fr-BE"/>
        </w:rPr>
      </w:pPr>
    </w:p>
  </w:footnote>
  <w:footnote w:id="3">
    <w:p w:rsidR="00C164D6" w:rsidRDefault="00C164D6" w:rsidP="001178D6">
      <w:pPr>
        <w:pStyle w:val="FootnoteText"/>
        <w:ind w:left="142" w:right="-731" w:hanging="142"/>
        <w:jc w:val="both"/>
        <w:rPr>
          <w:sz w:val="18"/>
          <w:lang w:val="fr-BE"/>
        </w:rPr>
      </w:pPr>
      <w:r>
        <w:rPr>
          <w:rStyle w:val="FootnoteReference"/>
        </w:rPr>
        <w:footnoteRef/>
      </w:r>
      <w:r w:rsidRPr="00EE3DFC">
        <w:rPr>
          <w:lang w:val="fr-BE"/>
        </w:rPr>
        <w:t xml:space="preserve"> </w:t>
      </w:r>
      <w:r w:rsidRPr="00EE3DFC">
        <w:rPr>
          <w:sz w:val="18"/>
          <w:lang w:val="fr-BE"/>
        </w:rPr>
        <w:t>Pour de plus amples informations sur le prochain appel à propositions</w:t>
      </w:r>
      <w:r w:rsidR="0003040C" w:rsidRPr="00EE3DFC">
        <w:rPr>
          <w:sz w:val="18"/>
          <w:lang w:val="fr-BE"/>
        </w:rPr>
        <w:t> </w:t>
      </w:r>
      <w:r w:rsidRPr="00EE3DFC">
        <w:rPr>
          <w:sz w:val="18"/>
          <w:lang w:val="fr-BE"/>
        </w:rPr>
        <w:t>2013, vous pouvez consulter le document PowerPoint de la Commission:</w:t>
      </w:r>
      <w:r w:rsidRPr="00EE3DFC">
        <w:rPr>
          <w:lang w:val="fr-BE"/>
        </w:rPr>
        <w:t xml:space="preserve"> </w:t>
      </w:r>
      <w:hyperlink r:id="rId3" w:tooltip="WG C-DEAR Call for Proposals AB 1906.pdf">
        <w:r w:rsidRPr="00EE3DFC">
          <w:rPr>
            <w:rStyle w:val="Hyperlink"/>
            <w:sz w:val="18"/>
            <w:lang w:val="fr-BE"/>
          </w:rPr>
          <w:t xml:space="preserve">WG C </w:t>
        </w:r>
        <w:r w:rsidR="0003040C" w:rsidRPr="00EE3DFC">
          <w:rPr>
            <w:rStyle w:val="Hyperlink"/>
            <w:sz w:val="18"/>
            <w:lang w:val="fr-BE"/>
          </w:rPr>
          <w:t>—</w:t>
        </w:r>
        <w:r w:rsidRPr="00EE3DFC">
          <w:rPr>
            <w:rStyle w:val="Hyperlink"/>
            <w:sz w:val="18"/>
            <w:lang w:val="fr-BE"/>
          </w:rPr>
          <w:t xml:space="preserve"> DEAR Call for </w:t>
        </w:r>
        <w:proofErr w:type="spellStart"/>
        <w:r w:rsidRPr="00EE3DFC">
          <w:rPr>
            <w:rStyle w:val="Hyperlink"/>
            <w:sz w:val="18"/>
            <w:lang w:val="fr-BE"/>
          </w:rPr>
          <w:t>Proposals</w:t>
        </w:r>
        <w:proofErr w:type="spellEnd"/>
        <w:r w:rsidRPr="00EE3DFC">
          <w:rPr>
            <w:rStyle w:val="Hyperlink"/>
            <w:sz w:val="18"/>
            <w:lang w:val="fr-BE"/>
          </w:rPr>
          <w:t xml:space="preserve"> </w:t>
        </w:r>
      </w:hyperlink>
      <w:r w:rsidRPr="00EE3DFC">
        <w:rPr>
          <w:rStyle w:val="Hyperlink"/>
          <w:color w:val="auto"/>
          <w:sz w:val="18"/>
          <w:u w:val="none"/>
          <w:lang w:val="fr-BE"/>
        </w:rPr>
        <w:t>de même que le</w:t>
      </w:r>
      <w:r w:rsidR="0003040C" w:rsidRPr="00EE3DFC">
        <w:rPr>
          <w:rStyle w:val="Hyperlink"/>
          <w:color w:val="auto"/>
          <w:sz w:val="18"/>
          <w:u w:val="none"/>
          <w:lang w:val="fr-BE"/>
        </w:rPr>
        <w:t xml:space="preserve"> </w:t>
      </w:r>
      <w:hyperlink r:id="rId4">
        <w:r w:rsidRPr="00EE3DFC">
          <w:rPr>
            <w:rStyle w:val="Hyperlink"/>
            <w:sz w:val="18"/>
            <w:lang w:val="fr-BE"/>
          </w:rPr>
          <w:t xml:space="preserve">Programme thématique </w:t>
        </w:r>
        <w:r w:rsidR="0003040C" w:rsidRPr="00EE3DFC">
          <w:rPr>
            <w:rStyle w:val="Hyperlink"/>
            <w:sz w:val="18"/>
            <w:lang w:val="fr-BE"/>
          </w:rPr>
          <w:t>—</w:t>
        </w:r>
        <w:r w:rsidRPr="00EE3DFC">
          <w:rPr>
            <w:rStyle w:val="Hyperlink"/>
            <w:sz w:val="18"/>
            <w:lang w:val="fr-BE"/>
          </w:rPr>
          <w:t xml:space="preserve"> Les acteurs non étatiques et les autorités locales dans le développement </w:t>
        </w:r>
        <w:r w:rsidR="0003040C" w:rsidRPr="00EE3DFC">
          <w:rPr>
            <w:rStyle w:val="Hyperlink"/>
            <w:sz w:val="18"/>
            <w:lang w:val="fr-BE"/>
          </w:rPr>
          <w:t>—</w:t>
        </w:r>
        <w:r w:rsidRPr="00EE3DFC">
          <w:rPr>
            <w:rStyle w:val="Hyperlink"/>
            <w:sz w:val="18"/>
            <w:lang w:val="fr-BE"/>
          </w:rPr>
          <w:t xml:space="preserve"> Document de stratégie 2011-2013</w:t>
        </w:r>
      </w:hyperlink>
      <w:r w:rsidRPr="00EE3DFC">
        <w:rPr>
          <w:sz w:val="18"/>
          <w:lang w:val="fr-BE"/>
        </w:rPr>
        <w:t xml:space="preserve"> (voir l'objectif</w:t>
      </w:r>
      <w:r w:rsidR="0003040C" w:rsidRPr="00EE3DFC">
        <w:rPr>
          <w:sz w:val="18"/>
          <w:lang w:val="fr-BE"/>
        </w:rPr>
        <w:t> </w:t>
      </w:r>
      <w:r w:rsidRPr="00EE3DFC">
        <w:rPr>
          <w:sz w:val="18"/>
          <w:lang w:val="fr-BE"/>
        </w:rPr>
        <w:t xml:space="preserve">2) et le Plan d'action annuel 2013 </w:t>
      </w:r>
      <w:hyperlink r:id="rId5" w:tooltip="Action Fiche">
        <w:r w:rsidRPr="00EE3DFC">
          <w:rPr>
            <w:rStyle w:val="Hyperlink"/>
            <w:sz w:val="18"/>
            <w:lang w:val="fr-BE"/>
          </w:rPr>
          <w:t>Action Fiche</w:t>
        </w:r>
      </w:hyperlink>
      <w:r w:rsidRPr="00EE3DFC">
        <w:rPr>
          <w:sz w:val="18"/>
          <w:lang w:val="fr-BE"/>
        </w:rPr>
        <w:t xml:space="preserve"> (Action fiche n</w:t>
      </w:r>
      <w:r w:rsidR="003D5C98" w:rsidRPr="00EE3DFC">
        <w:rPr>
          <w:sz w:val="18"/>
          <w:lang w:val="fr-BE"/>
        </w:rPr>
        <w:t>° </w:t>
      </w:r>
      <w:r w:rsidRPr="00EE3DFC">
        <w:rPr>
          <w:sz w:val="18"/>
          <w:lang w:val="fr-BE"/>
        </w:rPr>
        <w:t>11</w:t>
      </w:r>
      <w:r w:rsidR="0003040C" w:rsidRPr="00EE3DFC">
        <w:rPr>
          <w:sz w:val="18"/>
          <w:lang w:val="fr-BE"/>
        </w:rPr>
        <w:t> </w:t>
      </w:r>
      <w:r w:rsidRPr="00EE3DFC">
        <w:rPr>
          <w:sz w:val="18"/>
          <w:lang w:val="fr-BE"/>
        </w:rPr>
        <w:t>p.69-73)</w:t>
      </w:r>
      <w:r w:rsidR="0003040C" w:rsidRPr="00EE3DFC">
        <w:rPr>
          <w:sz w:val="18"/>
          <w:lang w:val="fr-BE"/>
        </w:rPr>
        <w:t xml:space="preserve"> </w:t>
      </w:r>
    </w:p>
    <w:p w:rsidR="00E11F99" w:rsidRDefault="00E11F99" w:rsidP="001178D6">
      <w:pPr>
        <w:pStyle w:val="FootnoteText"/>
        <w:ind w:left="142" w:right="-731" w:hanging="142"/>
        <w:jc w:val="both"/>
        <w:rPr>
          <w:sz w:val="18"/>
          <w:lang w:val="fr-BE"/>
        </w:rPr>
      </w:pPr>
    </w:p>
    <w:p w:rsidR="00E11F99" w:rsidRPr="00EE3DFC" w:rsidRDefault="00E11F99" w:rsidP="001178D6">
      <w:pPr>
        <w:pStyle w:val="FootnoteText"/>
        <w:ind w:left="142" w:right="-731" w:hanging="142"/>
        <w:jc w:val="both"/>
        <w:rPr>
          <w:sz w:val="18"/>
          <w:szCs w:val="18"/>
          <w:lang w:val="fr-BE"/>
        </w:rPr>
      </w:pPr>
    </w:p>
    <w:p w:rsidR="00C164D6" w:rsidRPr="00EE3DFC" w:rsidRDefault="00C164D6">
      <w:pPr>
        <w:pStyle w:val="FootnoteText"/>
        <w:rPr>
          <w:lang w:val="fr-BE"/>
        </w:rPr>
      </w:pPr>
    </w:p>
  </w:footnote>
  <w:footnote w:id="4">
    <w:p w:rsidR="006E54D1" w:rsidRPr="004F6011" w:rsidRDefault="006E54D1" w:rsidP="00BD4DEE">
      <w:pPr>
        <w:ind w:right="-731"/>
        <w:rPr>
          <w:bCs/>
          <w:sz w:val="18"/>
          <w:szCs w:val="18"/>
          <w:lang w:val="fr-BE"/>
        </w:rPr>
      </w:pPr>
      <w:r>
        <w:rPr>
          <w:rStyle w:val="FootnoteReference"/>
          <w:sz w:val="20"/>
        </w:rPr>
        <w:footnoteRef/>
      </w:r>
      <w:r w:rsidRPr="004F6011">
        <w:rPr>
          <w:sz w:val="20"/>
          <w:lang w:val="fr-BE"/>
        </w:rPr>
        <w:t xml:space="preserve"> </w:t>
      </w:r>
      <w:hyperlink r:id="rId6">
        <w:r w:rsidRPr="004F6011">
          <w:rPr>
            <w:rStyle w:val="Hyperlink"/>
            <w:sz w:val="18"/>
            <w:lang w:val="fr-BE"/>
          </w:rPr>
          <w:t>Déclaration pour encourager les activités syndicales d'éducation et de sensibilisation au développement</w:t>
        </w:r>
      </w:hyperlink>
    </w:p>
  </w:footnote>
  <w:footnote w:id="5">
    <w:p w:rsidR="006E54D1" w:rsidRPr="004F6011" w:rsidRDefault="006E54D1" w:rsidP="006E54D1">
      <w:pPr>
        <w:pStyle w:val="FootnoteText"/>
        <w:rPr>
          <w:rStyle w:val="Hyperlink"/>
          <w:bCs/>
          <w:sz w:val="18"/>
          <w:szCs w:val="18"/>
          <w:lang w:val="fr-BE"/>
        </w:rPr>
      </w:pPr>
      <w:r>
        <w:rPr>
          <w:rStyle w:val="FootnoteReference"/>
          <w:sz w:val="18"/>
        </w:rPr>
        <w:footnoteRef/>
      </w:r>
      <w:r w:rsidRPr="004F6011">
        <w:rPr>
          <w:sz w:val="18"/>
          <w:lang w:val="fr-BE"/>
        </w:rPr>
        <w:t xml:space="preserve"> </w:t>
      </w:r>
      <w:hyperlink r:id="rId7">
        <w:r w:rsidRPr="004F6011">
          <w:rPr>
            <w:rStyle w:val="Hyperlink"/>
            <w:sz w:val="18"/>
            <w:lang w:val="fr-BE"/>
          </w:rPr>
          <w:t>Déclaration sur la façon d'encourager l'éducation au développement au sein du mouvement syndical</w:t>
        </w:r>
      </w:hyperlink>
    </w:p>
    <w:p w:rsidR="00BD4DEE" w:rsidRPr="004F6011" w:rsidRDefault="00BD4DEE" w:rsidP="006E54D1">
      <w:pPr>
        <w:pStyle w:val="FootnoteText"/>
        <w:rPr>
          <w:rStyle w:val="Hyperlink"/>
          <w:bCs/>
          <w:sz w:val="18"/>
          <w:szCs w:val="18"/>
          <w:lang w:val="fr-BE"/>
        </w:rPr>
      </w:pPr>
    </w:p>
    <w:p w:rsidR="00BD4DEE" w:rsidRPr="004F6011" w:rsidRDefault="00BD4DEE" w:rsidP="006E54D1">
      <w:pPr>
        <w:pStyle w:val="FootnoteText"/>
        <w:rPr>
          <w:rStyle w:val="Hyperlink"/>
          <w:bCs/>
          <w:sz w:val="18"/>
          <w:szCs w:val="18"/>
          <w:lang w:val="fr-BE"/>
        </w:rPr>
      </w:pPr>
    </w:p>
    <w:p w:rsidR="00BD4DEE" w:rsidRPr="004F6011" w:rsidRDefault="00BD4DEE" w:rsidP="006E54D1">
      <w:pPr>
        <w:pStyle w:val="FootnoteText"/>
        <w:rPr>
          <w:lang w:val="fr-BE"/>
        </w:rPr>
      </w:pPr>
    </w:p>
    <w:p w:rsidR="006E54D1" w:rsidRPr="004F6011" w:rsidRDefault="006E54D1" w:rsidP="006E54D1">
      <w:pPr>
        <w:pStyle w:val="FootnoteText"/>
        <w:rPr>
          <w:lang w:val="fr-BE"/>
        </w:rPr>
      </w:pPr>
    </w:p>
    <w:p w:rsidR="006E54D1" w:rsidRPr="004F6011" w:rsidRDefault="006E54D1" w:rsidP="006E54D1">
      <w:pPr>
        <w:pStyle w:val="FootnoteText"/>
        <w:rPr>
          <w:b/>
          <w:bCs/>
          <w:lang w:val="fr-BE"/>
        </w:rPr>
      </w:pPr>
    </w:p>
    <w:p w:rsidR="006E54D1" w:rsidRPr="004F6011" w:rsidRDefault="006E54D1">
      <w:pPr>
        <w:pStyle w:val="FootnoteText"/>
        <w:rPr>
          <w:lang w:val="fr-BE"/>
        </w:rPr>
      </w:pPr>
    </w:p>
  </w:footnote>
  <w:footnote w:id="6">
    <w:p w:rsidR="00EE3DFC" w:rsidRPr="00EE3DFC" w:rsidRDefault="00EE3DFC">
      <w:pPr>
        <w:pStyle w:val="FootnoteText"/>
        <w:rPr>
          <w:lang w:val="fr-BE"/>
        </w:rPr>
      </w:pPr>
      <w:r>
        <w:rPr>
          <w:rStyle w:val="FootnoteReference"/>
        </w:rPr>
        <w:footnoteRef/>
      </w:r>
      <w:r w:rsidRPr="00EE3DFC">
        <w:rPr>
          <w:lang w:val="fr-BE"/>
        </w:rPr>
        <w:t xml:space="preserve"> Voir le </w:t>
      </w:r>
      <w:hyperlink r:id="rId8" w:history="1">
        <w:r w:rsidRPr="00EE3DFC">
          <w:rPr>
            <w:rStyle w:val="Hyperlink"/>
            <w:lang w:val="fr-BE"/>
          </w:rPr>
          <w:t>Document de travail de la Commission</w:t>
        </w:r>
      </w:hyperlink>
      <w:r w:rsidRPr="00EE3DFC">
        <w:rPr>
          <w:lang w:val="fr-BE"/>
        </w:rPr>
        <w:t xml:space="preserve"> p.17</w:t>
      </w:r>
      <w:r w:rsidR="004F6011">
        <w:rPr>
          <w:lang w:val="fr-BE"/>
        </w:rPr>
        <w:br/>
      </w:r>
    </w:p>
  </w:footnote>
  <w:footnote w:id="7">
    <w:p w:rsidR="006050C1" w:rsidRDefault="006050C1">
      <w:pPr>
        <w:pStyle w:val="FootnoteText"/>
        <w:rPr>
          <w:lang w:val="fr-BE"/>
        </w:rPr>
      </w:pPr>
      <w:r>
        <w:rPr>
          <w:rStyle w:val="FootnoteReference"/>
        </w:rPr>
        <w:footnoteRef/>
      </w:r>
      <w:r w:rsidRPr="00EE3DFC">
        <w:rPr>
          <w:lang w:val="fr-BE"/>
        </w:rPr>
        <w:t xml:space="preserve"> </w:t>
      </w:r>
      <w:hyperlink r:id="rId9" w:history="1">
        <w:r w:rsidR="00EE3DFC" w:rsidRPr="00EE3DFC">
          <w:rPr>
            <w:rStyle w:val="Hyperlink"/>
            <w:lang w:val="fr-BE"/>
          </w:rPr>
          <w:t>Proposition pour une décision du PE &amp; et du Conseil sur l’Année Européenne pour le développement (2015)</w:t>
        </w:r>
      </w:hyperlink>
      <w:r w:rsidR="00EE3DFC">
        <w:rPr>
          <w:lang w:val="fr-BE"/>
        </w:rPr>
        <w:t xml:space="preserve"> (en anglais) et </w:t>
      </w:r>
      <w:hyperlink r:id="rId10" w:history="1">
        <w:r w:rsidR="00EE3DFC" w:rsidRPr="00EE3DFC">
          <w:rPr>
            <w:rStyle w:val="Hyperlink"/>
            <w:lang w:val="fr-BE"/>
          </w:rPr>
          <w:t>document de travail de la Commission – Année Européenne pour le développement 2015</w:t>
        </w:r>
      </w:hyperlink>
      <w:r w:rsidR="00EE3DFC">
        <w:rPr>
          <w:lang w:val="fr-BE"/>
        </w:rPr>
        <w:t xml:space="preserve"> (en anglais). </w:t>
      </w:r>
    </w:p>
    <w:p w:rsidR="004F6011" w:rsidRPr="006050C1" w:rsidRDefault="004F6011">
      <w:pPr>
        <w:pStyle w:val="FootnoteText"/>
        <w:rPr>
          <w:lang w:val="fr-BE"/>
        </w:rPr>
      </w:pPr>
    </w:p>
  </w:footnote>
  <w:footnote w:id="8">
    <w:p w:rsidR="00EE3DFC" w:rsidRDefault="00EE3DFC">
      <w:pPr>
        <w:pStyle w:val="FootnoteText"/>
        <w:rPr>
          <w:lang w:val="fr-BE"/>
        </w:rPr>
      </w:pPr>
      <w:r>
        <w:rPr>
          <w:rStyle w:val="FootnoteReference"/>
        </w:rPr>
        <w:footnoteRef/>
      </w:r>
      <w:r w:rsidRPr="00EE3DFC">
        <w:rPr>
          <w:lang w:val="fr-BE"/>
        </w:rPr>
        <w:t xml:space="preserve"> </w:t>
      </w:r>
      <w:hyperlink r:id="rId11" w:history="1">
        <w:r w:rsidR="00570E01" w:rsidRPr="00576B6D">
          <w:rPr>
            <w:rStyle w:val="Hyperlink"/>
            <w:lang w:val="fr-BE"/>
          </w:rPr>
          <w:t>http://europa.eu/rapid/press-release_IP-13-166_fr.htm</w:t>
        </w:r>
      </w:hyperlink>
      <w:r w:rsidR="00570E01">
        <w:rPr>
          <w:lang w:val="fr-BE"/>
        </w:rPr>
        <w:t xml:space="preserve"> </w:t>
      </w:r>
    </w:p>
    <w:p w:rsidR="00E11F99" w:rsidRDefault="00E11F99">
      <w:pPr>
        <w:pStyle w:val="FootnoteText"/>
        <w:rPr>
          <w:lang w:val="fr-BE"/>
        </w:rPr>
      </w:pPr>
    </w:p>
    <w:p w:rsidR="00E11F99" w:rsidRPr="00EE3DFC" w:rsidRDefault="00E11F99">
      <w:pPr>
        <w:pStyle w:val="FootnoteText"/>
        <w:rPr>
          <w:lang w:val="fr-B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40C" w:rsidRDefault="000304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40C" w:rsidRDefault="000304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40C" w:rsidRDefault="000304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D30"/>
    <w:multiLevelType w:val="hybridMultilevel"/>
    <w:tmpl w:val="828CA42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015575"/>
    <w:multiLevelType w:val="hybridMultilevel"/>
    <w:tmpl w:val="6292D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C392B"/>
    <w:multiLevelType w:val="hybridMultilevel"/>
    <w:tmpl w:val="B1881B7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4A570E"/>
    <w:multiLevelType w:val="hybridMultilevel"/>
    <w:tmpl w:val="EB026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7C25A9"/>
    <w:multiLevelType w:val="hybridMultilevel"/>
    <w:tmpl w:val="C8E6A1E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D27803"/>
    <w:multiLevelType w:val="hybridMultilevel"/>
    <w:tmpl w:val="AA5E5FB6"/>
    <w:lvl w:ilvl="0" w:tplc="08090001">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6">
    <w:nsid w:val="2C5A3946"/>
    <w:multiLevelType w:val="hybridMultilevel"/>
    <w:tmpl w:val="F6F0ED9C"/>
    <w:lvl w:ilvl="0" w:tplc="0C0A000F">
      <w:start w:val="1"/>
      <w:numFmt w:val="decimal"/>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3162330C"/>
    <w:multiLevelType w:val="hybridMultilevel"/>
    <w:tmpl w:val="CD62B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2E69AF"/>
    <w:multiLevelType w:val="hybridMultilevel"/>
    <w:tmpl w:val="46ACA320"/>
    <w:lvl w:ilvl="0" w:tplc="0809000F">
      <w:start w:val="1"/>
      <w:numFmt w:val="decimal"/>
      <w:lvlText w:val="%1."/>
      <w:lvlJc w:val="left"/>
      <w:pPr>
        <w:ind w:left="1428" w:hanging="360"/>
      </w:pPr>
    </w:lvl>
    <w:lvl w:ilvl="1" w:tplc="08090019">
      <w:start w:val="1"/>
      <w:numFmt w:val="lowerLetter"/>
      <w:lvlText w:val="%2."/>
      <w:lvlJc w:val="left"/>
      <w:pPr>
        <w:ind w:left="2148" w:hanging="360"/>
      </w:pPr>
    </w:lvl>
    <w:lvl w:ilvl="2" w:tplc="0809001B">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9">
    <w:nsid w:val="5B702466"/>
    <w:multiLevelType w:val="hybridMultilevel"/>
    <w:tmpl w:val="15B89EEC"/>
    <w:lvl w:ilvl="0" w:tplc="08090001">
      <w:start w:val="1"/>
      <w:numFmt w:val="bullet"/>
      <w:lvlText w:val=""/>
      <w:lvlJc w:val="left"/>
      <w:pPr>
        <w:ind w:left="1776" w:hanging="360"/>
      </w:pPr>
      <w:rPr>
        <w:rFonts w:ascii="Symbol" w:hAnsi="Symbol" w:hint="default"/>
      </w:rPr>
    </w:lvl>
    <w:lvl w:ilvl="1" w:tplc="08090003">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10">
    <w:nsid w:val="611D5AE7"/>
    <w:multiLevelType w:val="hybridMultilevel"/>
    <w:tmpl w:val="6EFAF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601EC1"/>
    <w:multiLevelType w:val="hybridMultilevel"/>
    <w:tmpl w:val="5D029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EB4762"/>
    <w:multiLevelType w:val="hybridMultilevel"/>
    <w:tmpl w:val="7286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A14A21"/>
    <w:multiLevelType w:val="hybridMultilevel"/>
    <w:tmpl w:val="2640E230"/>
    <w:lvl w:ilvl="0" w:tplc="08090001">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num w:numId="1">
    <w:abstractNumId w:val="6"/>
  </w:num>
  <w:num w:numId="2">
    <w:abstractNumId w:val="8"/>
  </w:num>
  <w:num w:numId="3">
    <w:abstractNumId w:val="5"/>
  </w:num>
  <w:num w:numId="4">
    <w:abstractNumId w:val="9"/>
  </w:num>
  <w:num w:numId="5">
    <w:abstractNumId w:val="13"/>
  </w:num>
  <w:num w:numId="6">
    <w:abstractNumId w:val="7"/>
  </w:num>
  <w:num w:numId="7">
    <w:abstractNumId w:val="10"/>
  </w:num>
  <w:num w:numId="8">
    <w:abstractNumId w:val="11"/>
  </w:num>
  <w:num w:numId="9">
    <w:abstractNumId w:val="3"/>
  </w:num>
  <w:num w:numId="10">
    <w:abstractNumId w:val="12"/>
  </w:num>
  <w:num w:numId="11">
    <w:abstractNumId w:val="4"/>
  </w:num>
  <w:num w:numId="12">
    <w:abstractNumId w:val="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04F"/>
    <w:rsid w:val="0003040C"/>
    <w:rsid w:val="000349CE"/>
    <w:rsid w:val="00047A7F"/>
    <w:rsid w:val="000534E2"/>
    <w:rsid w:val="00073EB6"/>
    <w:rsid w:val="00092BF1"/>
    <w:rsid w:val="000E5730"/>
    <w:rsid w:val="000F3EFF"/>
    <w:rsid w:val="00110D6B"/>
    <w:rsid w:val="00111268"/>
    <w:rsid w:val="001178D6"/>
    <w:rsid w:val="001402A5"/>
    <w:rsid w:val="001652BF"/>
    <w:rsid w:val="00167CF8"/>
    <w:rsid w:val="001C07E0"/>
    <w:rsid w:val="001D0D41"/>
    <w:rsid w:val="001E2424"/>
    <w:rsid w:val="001E5753"/>
    <w:rsid w:val="001E6F08"/>
    <w:rsid w:val="00202C7F"/>
    <w:rsid w:val="0020392E"/>
    <w:rsid w:val="00263FC6"/>
    <w:rsid w:val="00275F5C"/>
    <w:rsid w:val="00281B75"/>
    <w:rsid w:val="0029421F"/>
    <w:rsid w:val="002A3EBB"/>
    <w:rsid w:val="002D7818"/>
    <w:rsid w:val="0030109A"/>
    <w:rsid w:val="00310A6D"/>
    <w:rsid w:val="00312322"/>
    <w:rsid w:val="0031350D"/>
    <w:rsid w:val="0031667A"/>
    <w:rsid w:val="00333509"/>
    <w:rsid w:val="00381C4F"/>
    <w:rsid w:val="003838EC"/>
    <w:rsid w:val="00393ECA"/>
    <w:rsid w:val="003A1E24"/>
    <w:rsid w:val="003A4D1A"/>
    <w:rsid w:val="003C3F91"/>
    <w:rsid w:val="003D5C98"/>
    <w:rsid w:val="003E1A1D"/>
    <w:rsid w:val="003E7CB7"/>
    <w:rsid w:val="003F6F0D"/>
    <w:rsid w:val="0040377D"/>
    <w:rsid w:val="0043173A"/>
    <w:rsid w:val="00466CC3"/>
    <w:rsid w:val="00467329"/>
    <w:rsid w:val="00477B06"/>
    <w:rsid w:val="00491AE4"/>
    <w:rsid w:val="004C02F7"/>
    <w:rsid w:val="004C1C05"/>
    <w:rsid w:val="004C5C4F"/>
    <w:rsid w:val="004C72D0"/>
    <w:rsid w:val="004F25B8"/>
    <w:rsid w:val="004F33FD"/>
    <w:rsid w:val="004F6011"/>
    <w:rsid w:val="00512B3E"/>
    <w:rsid w:val="0052269D"/>
    <w:rsid w:val="00536418"/>
    <w:rsid w:val="005502D8"/>
    <w:rsid w:val="00557966"/>
    <w:rsid w:val="00570E01"/>
    <w:rsid w:val="00577428"/>
    <w:rsid w:val="00577E3A"/>
    <w:rsid w:val="00584B35"/>
    <w:rsid w:val="00590B28"/>
    <w:rsid w:val="005A305C"/>
    <w:rsid w:val="005C061F"/>
    <w:rsid w:val="005C44A3"/>
    <w:rsid w:val="006050C1"/>
    <w:rsid w:val="006428AF"/>
    <w:rsid w:val="006444CB"/>
    <w:rsid w:val="0065783B"/>
    <w:rsid w:val="00661FF1"/>
    <w:rsid w:val="00681EDC"/>
    <w:rsid w:val="0069704F"/>
    <w:rsid w:val="006A395B"/>
    <w:rsid w:val="006A3BEA"/>
    <w:rsid w:val="006D5428"/>
    <w:rsid w:val="006D5F60"/>
    <w:rsid w:val="006D778E"/>
    <w:rsid w:val="006E54D1"/>
    <w:rsid w:val="006F745D"/>
    <w:rsid w:val="0071000C"/>
    <w:rsid w:val="00752BD4"/>
    <w:rsid w:val="00762B75"/>
    <w:rsid w:val="007640F9"/>
    <w:rsid w:val="00792841"/>
    <w:rsid w:val="007A65F6"/>
    <w:rsid w:val="007B71B7"/>
    <w:rsid w:val="007F5A00"/>
    <w:rsid w:val="0080425A"/>
    <w:rsid w:val="00804CA6"/>
    <w:rsid w:val="00807A2C"/>
    <w:rsid w:val="008153E4"/>
    <w:rsid w:val="00832E0A"/>
    <w:rsid w:val="008473F4"/>
    <w:rsid w:val="008614F5"/>
    <w:rsid w:val="0086614A"/>
    <w:rsid w:val="008B08F6"/>
    <w:rsid w:val="008B0BFD"/>
    <w:rsid w:val="008D37BC"/>
    <w:rsid w:val="008E0D0C"/>
    <w:rsid w:val="0092654F"/>
    <w:rsid w:val="009359ED"/>
    <w:rsid w:val="009B708D"/>
    <w:rsid w:val="009C352F"/>
    <w:rsid w:val="009D4B88"/>
    <w:rsid w:val="009E12A2"/>
    <w:rsid w:val="009E3D44"/>
    <w:rsid w:val="00A03A11"/>
    <w:rsid w:val="00A21A59"/>
    <w:rsid w:val="00A21BF1"/>
    <w:rsid w:val="00A22A51"/>
    <w:rsid w:val="00A57365"/>
    <w:rsid w:val="00A721A7"/>
    <w:rsid w:val="00A86973"/>
    <w:rsid w:val="00AC79E3"/>
    <w:rsid w:val="00AF04F1"/>
    <w:rsid w:val="00B05F20"/>
    <w:rsid w:val="00B13FA6"/>
    <w:rsid w:val="00B338F3"/>
    <w:rsid w:val="00B37C6D"/>
    <w:rsid w:val="00B46205"/>
    <w:rsid w:val="00B54951"/>
    <w:rsid w:val="00B7259F"/>
    <w:rsid w:val="00B923E7"/>
    <w:rsid w:val="00BB629F"/>
    <w:rsid w:val="00BC34A0"/>
    <w:rsid w:val="00BC5AA5"/>
    <w:rsid w:val="00BD4DEE"/>
    <w:rsid w:val="00BE0452"/>
    <w:rsid w:val="00BE7C0C"/>
    <w:rsid w:val="00BF5D48"/>
    <w:rsid w:val="00C164D6"/>
    <w:rsid w:val="00C374F5"/>
    <w:rsid w:val="00C52302"/>
    <w:rsid w:val="00C842F9"/>
    <w:rsid w:val="00CC0AD2"/>
    <w:rsid w:val="00CC3D0C"/>
    <w:rsid w:val="00CD6BBF"/>
    <w:rsid w:val="00CE2738"/>
    <w:rsid w:val="00D0108B"/>
    <w:rsid w:val="00D200FD"/>
    <w:rsid w:val="00D20BEE"/>
    <w:rsid w:val="00D333E2"/>
    <w:rsid w:val="00D81327"/>
    <w:rsid w:val="00D93005"/>
    <w:rsid w:val="00DE6413"/>
    <w:rsid w:val="00E11F99"/>
    <w:rsid w:val="00E56B42"/>
    <w:rsid w:val="00E66ABD"/>
    <w:rsid w:val="00E7336D"/>
    <w:rsid w:val="00E94B38"/>
    <w:rsid w:val="00EA566B"/>
    <w:rsid w:val="00EB361A"/>
    <w:rsid w:val="00ED7033"/>
    <w:rsid w:val="00ED7BB4"/>
    <w:rsid w:val="00EE3DFC"/>
    <w:rsid w:val="00F05BE2"/>
    <w:rsid w:val="00F53829"/>
    <w:rsid w:val="00F6515C"/>
    <w:rsid w:val="00F65A79"/>
    <w:rsid w:val="00F73A75"/>
    <w:rsid w:val="00F81B58"/>
    <w:rsid w:val="00FA17B2"/>
    <w:rsid w:val="00FA4312"/>
    <w:rsid w:val="00FA5EEC"/>
    <w:rsid w:val="00FC06E5"/>
    <w:rsid w:val="00FE7C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70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04F"/>
    <w:rPr>
      <w:rFonts w:ascii="Tahoma" w:hAnsi="Tahoma" w:cs="Tahoma"/>
      <w:sz w:val="16"/>
      <w:szCs w:val="16"/>
    </w:rPr>
  </w:style>
  <w:style w:type="character" w:customStyle="1" w:styleId="Heading1Char">
    <w:name w:val="Heading 1 Char"/>
    <w:basedOn w:val="DefaultParagraphFont"/>
    <w:link w:val="Heading1"/>
    <w:uiPriority w:val="9"/>
    <w:rsid w:val="0069704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970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704F"/>
    <w:rPr>
      <w:rFonts w:asciiTheme="majorHAnsi" w:eastAsiaTheme="majorEastAsia" w:hAnsiTheme="majorHAnsi" w:cstheme="majorBidi"/>
      <w:color w:val="17365D" w:themeColor="text2" w:themeShade="BF"/>
      <w:spacing w:val="5"/>
      <w:kern w:val="28"/>
      <w:sz w:val="52"/>
      <w:szCs w:val="52"/>
    </w:rPr>
  </w:style>
  <w:style w:type="character" w:styleId="SubtleReference">
    <w:name w:val="Subtle Reference"/>
    <w:basedOn w:val="DefaultParagraphFont"/>
    <w:uiPriority w:val="31"/>
    <w:qFormat/>
    <w:rsid w:val="0069704F"/>
    <w:rPr>
      <w:smallCaps/>
      <w:color w:val="C0504D" w:themeColor="accent2"/>
      <w:u w:val="single"/>
    </w:rPr>
  </w:style>
  <w:style w:type="character" w:styleId="IntenseReference">
    <w:name w:val="Intense Reference"/>
    <w:basedOn w:val="DefaultParagraphFont"/>
    <w:uiPriority w:val="32"/>
    <w:qFormat/>
    <w:rsid w:val="0069704F"/>
    <w:rPr>
      <w:b/>
      <w:bCs/>
      <w:smallCaps/>
      <w:color w:val="C0504D" w:themeColor="accent2"/>
      <w:spacing w:val="5"/>
      <w:u w:val="single"/>
    </w:rPr>
  </w:style>
  <w:style w:type="character" w:styleId="Strong">
    <w:name w:val="Strong"/>
    <w:basedOn w:val="DefaultParagraphFont"/>
    <w:uiPriority w:val="22"/>
    <w:qFormat/>
    <w:rsid w:val="0069704F"/>
    <w:rPr>
      <w:b/>
      <w:bCs/>
    </w:rPr>
  </w:style>
  <w:style w:type="paragraph" w:styleId="ListParagraph">
    <w:name w:val="List Paragraph"/>
    <w:basedOn w:val="Normal"/>
    <w:uiPriority w:val="34"/>
    <w:qFormat/>
    <w:rsid w:val="0069704F"/>
    <w:pPr>
      <w:ind w:left="720"/>
      <w:contextualSpacing/>
    </w:pPr>
  </w:style>
  <w:style w:type="paragraph" w:styleId="Header">
    <w:name w:val="header"/>
    <w:basedOn w:val="Normal"/>
    <w:link w:val="HeaderChar"/>
    <w:uiPriority w:val="99"/>
    <w:unhideWhenUsed/>
    <w:rsid w:val="00D010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08B"/>
  </w:style>
  <w:style w:type="paragraph" w:styleId="Footer">
    <w:name w:val="footer"/>
    <w:basedOn w:val="Normal"/>
    <w:link w:val="FooterChar"/>
    <w:uiPriority w:val="99"/>
    <w:unhideWhenUsed/>
    <w:rsid w:val="00D010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08B"/>
  </w:style>
  <w:style w:type="character" w:styleId="Hyperlink">
    <w:name w:val="Hyperlink"/>
    <w:basedOn w:val="DefaultParagraphFont"/>
    <w:uiPriority w:val="99"/>
    <w:unhideWhenUsed/>
    <w:rsid w:val="008B08F6"/>
    <w:rPr>
      <w:color w:val="0000FF" w:themeColor="hyperlink"/>
      <w:u w:val="single"/>
    </w:rPr>
  </w:style>
  <w:style w:type="character" w:styleId="FollowedHyperlink">
    <w:name w:val="FollowedHyperlink"/>
    <w:basedOn w:val="DefaultParagraphFont"/>
    <w:uiPriority w:val="99"/>
    <w:semiHidden/>
    <w:unhideWhenUsed/>
    <w:rsid w:val="00D20BEE"/>
    <w:rPr>
      <w:color w:val="800080" w:themeColor="followedHyperlink"/>
      <w:u w:val="single"/>
    </w:rPr>
  </w:style>
  <w:style w:type="paragraph" w:styleId="FootnoteText">
    <w:name w:val="footnote text"/>
    <w:basedOn w:val="Normal"/>
    <w:link w:val="FootnoteTextChar"/>
    <w:uiPriority w:val="99"/>
    <w:semiHidden/>
    <w:unhideWhenUsed/>
    <w:rsid w:val="00E66A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6ABD"/>
    <w:rPr>
      <w:sz w:val="20"/>
      <w:szCs w:val="20"/>
    </w:rPr>
  </w:style>
  <w:style w:type="character" w:styleId="FootnoteReference">
    <w:name w:val="footnote reference"/>
    <w:basedOn w:val="DefaultParagraphFont"/>
    <w:uiPriority w:val="99"/>
    <w:semiHidden/>
    <w:unhideWhenUsed/>
    <w:rsid w:val="00E66ABD"/>
    <w:rPr>
      <w:vertAlign w:val="superscript"/>
    </w:rPr>
  </w:style>
  <w:style w:type="table" w:styleId="TableGrid">
    <w:name w:val="Table Grid"/>
    <w:basedOn w:val="TableNormal"/>
    <w:uiPriority w:val="59"/>
    <w:rsid w:val="006F745D"/>
    <w:pPr>
      <w:spacing w:after="0" w:line="240" w:lineRule="auto"/>
    </w:pPr>
    <w:rPr>
      <w:lang w:val="nl-NL"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03A11"/>
    <w:rPr>
      <w:sz w:val="16"/>
      <w:szCs w:val="16"/>
    </w:rPr>
  </w:style>
  <w:style w:type="paragraph" w:styleId="CommentText">
    <w:name w:val="annotation text"/>
    <w:basedOn w:val="Normal"/>
    <w:link w:val="CommentTextChar"/>
    <w:uiPriority w:val="99"/>
    <w:semiHidden/>
    <w:unhideWhenUsed/>
    <w:rsid w:val="00A03A11"/>
    <w:pPr>
      <w:spacing w:line="240" w:lineRule="auto"/>
    </w:pPr>
    <w:rPr>
      <w:sz w:val="20"/>
      <w:szCs w:val="20"/>
    </w:rPr>
  </w:style>
  <w:style w:type="character" w:customStyle="1" w:styleId="CommentTextChar">
    <w:name w:val="Comment Text Char"/>
    <w:basedOn w:val="DefaultParagraphFont"/>
    <w:link w:val="CommentText"/>
    <w:uiPriority w:val="99"/>
    <w:semiHidden/>
    <w:rsid w:val="00A03A11"/>
    <w:rPr>
      <w:sz w:val="20"/>
      <w:szCs w:val="20"/>
    </w:rPr>
  </w:style>
  <w:style w:type="paragraph" w:styleId="CommentSubject">
    <w:name w:val="annotation subject"/>
    <w:basedOn w:val="CommentText"/>
    <w:next w:val="CommentText"/>
    <w:link w:val="CommentSubjectChar"/>
    <w:uiPriority w:val="99"/>
    <w:semiHidden/>
    <w:unhideWhenUsed/>
    <w:rsid w:val="00A03A11"/>
    <w:rPr>
      <w:b/>
      <w:bCs/>
    </w:rPr>
  </w:style>
  <w:style w:type="character" w:customStyle="1" w:styleId="CommentSubjectChar">
    <w:name w:val="Comment Subject Char"/>
    <w:basedOn w:val="CommentTextChar"/>
    <w:link w:val="CommentSubject"/>
    <w:uiPriority w:val="99"/>
    <w:semiHidden/>
    <w:rsid w:val="00A03A1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70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04F"/>
    <w:rPr>
      <w:rFonts w:ascii="Tahoma" w:hAnsi="Tahoma" w:cs="Tahoma"/>
      <w:sz w:val="16"/>
      <w:szCs w:val="16"/>
    </w:rPr>
  </w:style>
  <w:style w:type="character" w:customStyle="1" w:styleId="Heading1Char">
    <w:name w:val="Heading 1 Char"/>
    <w:basedOn w:val="DefaultParagraphFont"/>
    <w:link w:val="Heading1"/>
    <w:uiPriority w:val="9"/>
    <w:rsid w:val="0069704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970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704F"/>
    <w:rPr>
      <w:rFonts w:asciiTheme="majorHAnsi" w:eastAsiaTheme="majorEastAsia" w:hAnsiTheme="majorHAnsi" w:cstheme="majorBidi"/>
      <w:color w:val="17365D" w:themeColor="text2" w:themeShade="BF"/>
      <w:spacing w:val="5"/>
      <w:kern w:val="28"/>
      <w:sz w:val="52"/>
      <w:szCs w:val="52"/>
    </w:rPr>
  </w:style>
  <w:style w:type="character" w:styleId="SubtleReference">
    <w:name w:val="Subtle Reference"/>
    <w:basedOn w:val="DefaultParagraphFont"/>
    <w:uiPriority w:val="31"/>
    <w:qFormat/>
    <w:rsid w:val="0069704F"/>
    <w:rPr>
      <w:smallCaps/>
      <w:color w:val="C0504D" w:themeColor="accent2"/>
      <w:u w:val="single"/>
    </w:rPr>
  </w:style>
  <w:style w:type="character" w:styleId="IntenseReference">
    <w:name w:val="Intense Reference"/>
    <w:basedOn w:val="DefaultParagraphFont"/>
    <w:uiPriority w:val="32"/>
    <w:qFormat/>
    <w:rsid w:val="0069704F"/>
    <w:rPr>
      <w:b/>
      <w:bCs/>
      <w:smallCaps/>
      <w:color w:val="C0504D" w:themeColor="accent2"/>
      <w:spacing w:val="5"/>
      <w:u w:val="single"/>
    </w:rPr>
  </w:style>
  <w:style w:type="character" w:styleId="Strong">
    <w:name w:val="Strong"/>
    <w:basedOn w:val="DefaultParagraphFont"/>
    <w:uiPriority w:val="22"/>
    <w:qFormat/>
    <w:rsid w:val="0069704F"/>
    <w:rPr>
      <w:b/>
      <w:bCs/>
    </w:rPr>
  </w:style>
  <w:style w:type="paragraph" w:styleId="ListParagraph">
    <w:name w:val="List Paragraph"/>
    <w:basedOn w:val="Normal"/>
    <w:uiPriority w:val="34"/>
    <w:qFormat/>
    <w:rsid w:val="0069704F"/>
    <w:pPr>
      <w:ind w:left="720"/>
      <w:contextualSpacing/>
    </w:pPr>
  </w:style>
  <w:style w:type="paragraph" w:styleId="Header">
    <w:name w:val="header"/>
    <w:basedOn w:val="Normal"/>
    <w:link w:val="HeaderChar"/>
    <w:uiPriority w:val="99"/>
    <w:unhideWhenUsed/>
    <w:rsid w:val="00D010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08B"/>
  </w:style>
  <w:style w:type="paragraph" w:styleId="Footer">
    <w:name w:val="footer"/>
    <w:basedOn w:val="Normal"/>
    <w:link w:val="FooterChar"/>
    <w:uiPriority w:val="99"/>
    <w:unhideWhenUsed/>
    <w:rsid w:val="00D010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08B"/>
  </w:style>
  <w:style w:type="character" w:styleId="Hyperlink">
    <w:name w:val="Hyperlink"/>
    <w:basedOn w:val="DefaultParagraphFont"/>
    <w:uiPriority w:val="99"/>
    <w:unhideWhenUsed/>
    <w:rsid w:val="008B08F6"/>
    <w:rPr>
      <w:color w:val="0000FF" w:themeColor="hyperlink"/>
      <w:u w:val="single"/>
    </w:rPr>
  </w:style>
  <w:style w:type="character" w:styleId="FollowedHyperlink">
    <w:name w:val="FollowedHyperlink"/>
    <w:basedOn w:val="DefaultParagraphFont"/>
    <w:uiPriority w:val="99"/>
    <w:semiHidden/>
    <w:unhideWhenUsed/>
    <w:rsid w:val="00D20BEE"/>
    <w:rPr>
      <w:color w:val="800080" w:themeColor="followedHyperlink"/>
      <w:u w:val="single"/>
    </w:rPr>
  </w:style>
  <w:style w:type="paragraph" w:styleId="FootnoteText">
    <w:name w:val="footnote text"/>
    <w:basedOn w:val="Normal"/>
    <w:link w:val="FootnoteTextChar"/>
    <w:uiPriority w:val="99"/>
    <w:semiHidden/>
    <w:unhideWhenUsed/>
    <w:rsid w:val="00E66A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6ABD"/>
    <w:rPr>
      <w:sz w:val="20"/>
      <w:szCs w:val="20"/>
    </w:rPr>
  </w:style>
  <w:style w:type="character" w:styleId="FootnoteReference">
    <w:name w:val="footnote reference"/>
    <w:basedOn w:val="DefaultParagraphFont"/>
    <w:uiPriority w:val="99"/>
    <w:semiHidden/>
    <w:unhideWhenUsed/>
    <w:rsid w:val="00E66ABD"/>
    <w:rPr>
      <w:vertAlign w:val="superscript"/>
    </w:rPr>
  </w:style>
  <w:style w:type="table" w:styleId="TableGrid">
    <w:name w:val="Table Grid"/>
    <w:basedOn w:val="TableNormal"/>
    <w:uiPriority w:val="59"/>
    <w:rsid w:val="006F745D"/>
    <w:pPr>
      <w:spacing w:after="0" w:line="240" w:lineRule="auto"/>
    </w:pPr>
    <w:rPr>
      <w:lang w:val="nl-NL"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03A11"/>
    <w:rPr>
      <w:sz w:val="16"/>
      <w:szCs w:val="16"/>
    </w:rPr>
  </w:style>
  <w:style w:type="paragraph" w:styleId="CommentText">
    <w:name w:val="annotation text"/>
    <w:basedOn w:val="Normal"/>
    <w:link w:val="CommentTextChar"/>
    <w:uiPriority w:val="99"/>
    <w:semiHidden/>
    <w:unhideWhenUsed/>
    <w:rsid w:val="00A03A11"/>
    <w:pPr>
      <w:spacing w:line="240" w:lineRule="auto"/>
    </w:pPr>
    <w:rPr>
      <w:sz w:val="20"/>
      <w:szCs w:val="20"/>
    </w:rPr>
  </w:style>
  <w:style w:type="character" w:customStyle="1" w:styleId="CommentTextChar">
    <w:name w:val="Comment Text Char"/>
    <w:basedOn w:val="DefaultParagraphFont"/>
    <w:link w:val="CommentText"/>
    <w:uiPriority w:val="99"/>
    <w:semiHidden/>
    <w:rsid w:val="00A03A11"/>
    <w:rPr>
      <w:sz w:val="20"/>
      <w:szCs w:val="20"/>
    </w:rPr>
  </w:style>
  <w:style w:type="paragraph" w:styleId="CommentSubject">
    <w:name w:val="annotation subject"/>
    <w:basedOn w:val="CommentText"/>
    <w:next w:val="CommentText"/>
    <w:link w:val="CommentSubjectChar"/>
    <w:uiPriority w:val="99"/>
    <w:semiHidden/>
    <w:unhideWhenUsed/>
    <w:rsid w:val="00A03A11"/>
    <w:rPr>
      <w:b/>
      <w:bCs/>
    </w:rPr>
  </w:style>
  <w:style w:type="character" w:customStyle="1" w:styleId="CommentSubjectChar">
    <w:name w:val="Comment Subject Char"/>
    <w:basedOn w:val="CommentTextChar"/>
    <w:link w:val="CommentSubject"/>
    <w:uiPriority w:val="99"/>
    <w:semiHidden/>
    <w:rsid w:val="00A03A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69742">
      <w:bodyDiv w:val="1"/>
      <w:marLeft w:val="0"/>
      <w:marRight w:val="0"/>
      <w:marTop w:val="0"/>
      <w:marBottom w:val="0"/>
      <w:divBdr>
        <w:top w:val="none" w:sz="0" w:space="0" w:color="auto"/>
        <w:left w:val="none" w:sz="0" w:space="0" w:color="auto"/>
        <w:bottom w:val="none" w:sz="0" w:space="0" w:color="auto"/>
        <w:right w:val="none" w:sz="0" w:space="0" w:color="auto"/>
      </w:divBdr>
    </w:div>
    <w:div w:id="210846551">
      <w:bodyDiv w:val="1"/>
      <w:marLeft w:val="0"/>
      <w:marRight w:val="0"/>
      <w:marTop w:val="0"/>
      <w:marBottom w:val="0"/>
      <w:divBdr>
        <w:top w:val="none" w:sz="0" w:space="0" w:color="auto"/>
        <w:left w:val="none" w:sz="0" w:space="0" w:color="auto"/>
        <w:bottom w:val="none" w:sz="0" w:space="0" w:color="auto"/>
        <w:right w:val="none" w:sz="0" w:space="0" w:color="auto"/>
      </w:divBdr>
    </w:div>
    <w:div w:id="486168046">
      <w:bodyDiv w:val="1"/>
      <w:marLeft w:val="0"/>
      <w:marRight w:val="0"/>
      <w:marTop w:val="0"/>
      <w:marBottom w:val="0"/>
      <w:divBdr>
        <w:top w:val="none" w:sz="0" w:space="0" w:color="auto"/>
        <w:left w:val="none" w:sz="0" w:space="0" w:color="auto"/>
        <w:bottom w:val="none" w:sz="0" w:space="0" w:color="auto"/>
        <w:right w:val="none" w:sz="0" w:space="0" w:color="auto"/>
      </w:divBdr>
    </w:div>
    <w:div w:id="590309853">
      <w:bodyDiv w:val="1"/>
      <w:marLeft w:val="0"/>
      <w:marRight w:val="0"/>
      <w:marTop w:val="0"/>
      <w:marBottom w:val="0"/>
      <w:divBdr>
        <w:top w:val="none" w:sz="0" w:space="0" w:color="auto"/>
        <w:left w:val="none" w:sz="0" w:space="0" w:color="auto"/>
        <w:bottom w:val="none" w:sz="0" w:space="0" w:color="auto"/>
        <w:right w:val="none" w:sz="0" w:space="0" w:color="auto"/>
      </w:divBdr>
    </w:div>
    <w:div w:id="1317997232">
      <w:bodyDiv w:val="1"/>
      <w:marLeft w:val="0"/>
      <w:marRight w:val="0"/>
      <w:marTop w:val="0"/>
      <w:marBottom w:val="0"/>
      <w:divBdr>
        <w:top w:val="none" w:sz="0" w:space="0" w:color="auto"/>
        <w:left w:val="none" w:sz="0" w:space="0" w:color="auto"/>
        <w:bottom w:val="none" w:sz="0" w:space="0" w:color="auto"/>
        <w:right w:val="none" w:sz="0" w:space="0" w:color="auto"/>
      </w:divBdr>
    </w:div>
    <w:div w:id="1788769687">
      <w:bodyDiv w:val="1"/>
      <w:marLeft w:val="0"/>
      <w:marRight w:val="0"/>
      <w:marTop w:val="0"/>
      <w:marBottom w:val="0"/>
      <w:divBdr>
        <w:top w:val="none" w:sz="0" w:space="0" w:color="auto"/>
        <w:left w:val="none" w:sz="0" w:space="0" w:color="auto"/>
        <w:bottom w:val="none" w:sz="0" w:space="0" w:color="auto"/>
        <w:right w:val="none" w:sz="0" w:space="0" w:color="auto"/>
      </w:divBdr>
    </w:div>
    <w:div w:id="189742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entrostudi.cisl.it/"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webgate.ec.europa.eu/fpfis/mwikis/aidco/images/b/b4/DEAR_SWD_2012_457_STAFF_WORKING_PAPER_EN.pdf" TargetMode="External"/><Relationship Id="rId3" Type="http://schemas.openxmlformats.org/officeDocument/2006/relationships/hyperlink" Target="https://webgate.ec.europa.eu/fpfis/mwikis/aidco/images/b/b4/DEAR_SWD_2012_457_STAFF_WORKING_PAPER_EN.pdf" TargetMode="External"/><Relationship Id="rId7" Type="http://schemas.openxmlformats.org/officeDocument/2006/relationships/hyperlink" Target="http://www.ituc-csi.org/declaration-sur-la-facon-d?lang=fr" TargetMode="External"/><Relationship Id="rId2" Type="http://schemas.openxmlformats.org/officeDocument/2006/relationships/hyperlink" Target="https://webgate.ec.europa.eu/fpfis/mwikis/aidco/images/b/b4/DEAR_SWD_2012_457_STAFF_WORKING_PAPER_EN.pdf" TargetMode="External"/><Relationship Id="rId1" Type="http://schemas.openxmlformats.org/officeDocument/2006/relationships/hyperlink" Target="https://webgate.ec.europa.eu/fpfis/mwikis/aidco/index.php/DEAR:_Development_education_and_awareness_raising:_concept" TargetMode="External"/><Relationship Id="rId6" Type="http://schemas.openxmlformats.org/officeDocument/2006/relationships/hyperlink" Target="http://www.ituc-csi.org/declaration-pour-encourager-les?lang=fr" TargetMode="External"/><Relationship Id="rId11" Type="http://schemas.openxmlformats.org/officeDocument/2006/relationships/hyperlink" Target="http://europa.eu/rapid/press-release_IP-13-166_fr.htm" TargetMode="External"/><Relationship Id="rId5" Type="http://schemas.openxmlformats.org/officeDocument/2006/relationships/hyperlink" Target="http://ec.europa.eu/europeaid/documents/aap/2013/af_aap_2013_dci-nsa.pdf" TargetMode="External"/><Relationship Id="rId10" Type="http://schemas.openxmlformats.org/officeDocument/2006/relationships/hyperlink" Target="http://ec.europa.eu/europeaid/news/documents/eyd2015-swd_en.pdf" TargetMode="External"/><Relationship Id="rId4" Type="http://schemas.openxmlformats.org/officeDocument/2006/relationships/hyperlink" Target="file:///C:\Users\Levillain\AppData\Local\Microsoft\Windows\Temporary%20Internet%20Files\Content.Outlook\Y26W8FH5\ec.europa.eu\europeaid\how\finance\dci\documents\nsa-la_strategy_2011-2013_-_fr.pdf" TargetMode="External"/><Relationship Id="rId9" Type="http://schemas.openxmlformats.org/officeDocument/2006/relationships/hyperlink" Target="http://ec.europa.eu/europeaid/news/documents/eyd2015-proposal-ep-counci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AFC7D-6CA1-4384-943E-33753342A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1229</Words>
  <Characters>7009</Characters>
  <Application>Microsoft Office Word</Application>
  <DocSecurity>4</DocSecurity>
  <Lines>58</Lines>
  <Paragraphs>16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International Trade Union Confederation</Company>
  <LinksUpToDate>false</LinksUpToDate>
  <CharactersWithSpaces>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Dereymaeker</dc:creator>
  <cp:lastModifiedBy>Paola Simonetti</cp:lastModifiedBy>
  <cp:revision>2</cp:revision>
  <cp:lastPrinted>2012-01-11T15:20:00Z</cp:lastPrinted>
  <dcterms:created xsi:type="dcterms:W3CDTF">2013-09-04T12:49:00Z</dcterms:created>
  <dcterms:modified xsi:type="dcterms:W3CDTF">2013-09-04T12:49:00Z</dcterms:modified>
</cp:coreProperties>
</file>